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34C42">
      <w:pPr>
        <w:pStyle w:val="14"/>
        <w:jc w:val="center"/>
        <w:rPr>
          <w:sz w:val="56"/>
          <w:szCs w:val="5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-297180</wp:posOffset>
                </wp:positionV>
                <wp:extent cx="1523365" cy="517525"/>
                <wp:effectExtent l="0" t="0" r="635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99590" y="935990"/>
                          <a:ext cx="1523365" cy="51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9143E">
                            <w:pP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30"/>
                                <w:szCs w:val="30"/>
                                <w:lang w:val="en-US" w:eastAsia="zh-CN"/>
                              </w:rPr>
                              <w:t>1：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6pt;margin-top:-23.4pt;height:40.75pt;width:119.95pt;z-index:251659264;mso-width-relative:page;mso-height-relative:page;" fillcolor="#FFFFFF [3201]" filled="t" stroked="f" coordsize="21600,21600" o:gfxdata="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cvAmUNYAAAAK&#10;AQAADwAAAAAAAAABACAAAAAiAAAAZHJzL2Rvd25yZXYueG1sUEsBAhQAFAAAAAgAh07iQEe/k8dX&#10;AgAAmgQAAA4AAAAAAAAAAQAgAAAAJQ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0F9143E">
                      <w:pP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楷体" w:hAnsi="楷体" w:eastAsia="楷体" w:cs="楷体"/>
                          <w:sz w:val="30"/>
                          <w:szCs w:val="30"/>
                          <w:lang w:val="en-US" w:eastAsia="zh-CN"/>
                        </w:rPr>
                        <w:t>1：</w:t>
                      </w:r>
                    </w:p>
                  </w:txbxContent>
                </v:textbox>
              </v:shape>
            </w:pict>
          </mc:Fallback>
        </mc:AlternateContent>
      </w:r>
    </w:p>
    <w:p w14:paraId="75848ADA">
      <w:pPr>
        <w:pStyle w:val="14"/>
        <w:jc w:val="both"/>
        <w:rPr>
          <w:sz w:val="84"/>
          <w:szCs w:val="84"/>
        </w:rPr>
      </w:pPr>
    </w:p>
    <w:p w14:paraId="0AD5A3B9">
      <w:pPr>
        <w:pStyle w:val="14"/>
        <w:jc w:val="center"/>
        <w:rPr>
          <w:sz w:val="84"/>
          <w:szCs w:val="84"/>
        </w:rPr>
      </w:pPr>
    </w:p>
    <w:p w14:paraId="28B266D8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164AA58C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岳阳市林业科学研究所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</w:t>
      </w:r>
    </w:p>
    <w:p w14:paraId="3358E247">
      <w:pPr>
        <w:pStyle w:val="14"/>
        <w:jc w:val="both"/>
        <w:rPr>
          <w:sz w:val="32"/>
          <w:szCs w:val="32"/>
        </w:rPr>
      </w:pPr>
    </w:p>
    <w:p w14:paraId="141315E6">
      <w:pPr>
        <w:pStyle w:val="14"/>
        <w:jc w:val="both"/>
        <w:rPr>
          <w:sz w:val="32"/>
          <w:szCs w:val="32"/>
        </w:rPr>
      </w:pPr>
    </w:p>
    <w:p w14:paraId="4F5AD5C2">
      <w:pPr>
        <w:pStyle w:val="14"/>
        <w:jc w:val="both"/>
        <w:rPr>
          <w:sz w:val="32"/>
          <w:szCs w:val="32"/>
        </w:rPr>
      </w:pPr>
    </w:p>
    <w:p w14:paraId="3B139692">
      <w:pPr>
        <w:pStyle w:val="14"/>
        <w:jc w:val="center"/>
        <w:rPr>
          <w:sz w:val="32"/>
          <w:szCs w:val="32"/>
        </w:rPr>
      </w:pPr>
    </w:p>
    <w:p w14:paraId="3D9CB10F">
      <w:pPr>
        <w:pStyle w:val="14"/>
        <w:spacing w:line="540" w:lineRule="exact"/>
        <w:jc w:val="center"/>
        <w:rPr>
          <w:sz w:val="56"/>
          <w:szCs w:val="56"/>
        </w:rPr>
      </w:pPr>
    </w:p>
    <w:p w14:paraId="5F177B6C">
      <w:pPr>
        <w:pStyle w:val="14"/>
        <w:spacing w:line="500" w:lineRule="exact"/>
        <w:jc w:val="both"/>
        <w:rPr>
          <w:b/>
          <w:sz w:val="36"/>
          <w:szCs w:val="28"/>
        </w:rPr>
      </w:pPr>
    </w:p>
    <w:p w14:paraId="3DBD3353">
      <w:pPr>
        <w:pStyle w:val="14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72C9C6B3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岳阳市林业科学研究所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概况</w:t>
      </w:r>
    </w:p>
    <w:p w14:paraId="1710CC0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1846BA0F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及决算单位构成</w:t>
      </w:r>
    </w:p>
    <w:p w14:paraId="2AB49DCC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22C561D2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33DB55E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47D50988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67068290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51D0C241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16337B0B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051036A2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6A03B9E3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2B4FF7B5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60AC750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3991CA6E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1479A8DF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35F559DE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67BC03C6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343B6CAD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3AFC31AB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4B8A0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 w14:paraId="0F247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情况</w:t>
      </w:r>
    </w:p>
    <w:p w14:paraId="65EDA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 w14:paraId="6C496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2405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635A5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1D105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 w14:paraId="2FB08ABD">
      <w:pPr>
        <w:pStyle w:val="14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202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绩效情况的说明</w:t>
      </w:r>
    </w:p>
    <w:p w14:paraId="29CAC31D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0758378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 w14:paraId="33AE505A">
      <w:pPr>
        <w:pStyle w:val="14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03A15EB">
      <w:pPr>
        <w:jc w:val="center"/>
        <w:rPr>
          <w:sz w:val="72"/>
          <w:szCs w:val="72"/>
        </w:rPr>
      </w:pPr>
    </w:p>
    <w:p w14:paraId="1FA4836B">
      <w:pPr>
        <w:jc w:val="center"/>
        <w:rPr>
          <w:sz w:val="72"/>
          <w:szCs w:val="72"/>
        </w:rPr>
      </w:pPr>
    </w:p>
    <w:p w14:paraId="7F874FE2">
      <w:pPr>
        <w:jc w:val="center"/>
        <w:rPr>
          <w:sz w:val="72"/>
          <w:szCs w:val="72"/>
        </w:rPr>
      </w:pPr>
    </w:p>
    <w:p w14:paraId="6F07A47C">
      <w:pPr>
        <w:jc w:val="center"/>
        <w:rPr>
          <w:sz w:val="72"/>
          <w:szCs w:val="72"/>
        </w:rPr>
      </w:pPr>
    </w:p>
    <w:p w14:paraId="26BE6F4D">
      <w:pPr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D95018C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55212984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B0859AE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岳阳市林业科学研究所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概况</w:t>
      </w:r>
    </w:p>
    <w:p w14:paraId="32232906"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83C22FE"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5B296850">
      <w:pPr>
        <w:jc w:val="both"/>
        <w:rPr>
          <w:sz w:val="72"/>
          <w:szCs w:val="72"/>
        </w:rPr>
      </w:pPr>
    </w:p>
    <w:p w14:paraId="48E34A76">
      <w:pPr>
        <w:pStyle w:val="2"/>
        <w:ind w:left="0" w:leftChars="0" w:firstLine="0" w:firstLineChars="0"/>
        <w:rPr>
          <w:sz w:val="72"/>
          <w:szCs w:val="72"/>
        </w:rPr>
      </w:pPr>
    </w:p>
    <w:p w14:paraId="3C894948">
      <w:pPr>
        <w:pStyle w:val="15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4973E4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为机关提供支持保障的职能</w:t>
      </w:r>
    </w:p>
    <w:p w14:paraId="00DEC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.负责开展基础性、公益性林业科学研究，组织林业科技攻关。</w:t>
      </w:r>
    </w:p>
    <w:p w14:paraId="56DFEE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负责林业新成果、新技术与新产品的试验和推广。</w:t>
      </w:r>
    </w:p>
    <w:p w14:paraId="5F6C3A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承担林业科研项目，开展林业科研对外交流与合作。</w:t>
      </w:r>
    </w:p>
    <w:p w14:paraId="2EDEB1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面向社会提供公益服务的职能</w:t>
      </w:r>
    </w:p>
    <w:p w14:paraId="0FA7CC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.承担全市林业科技发展中长期规划制定。</w:t>
      </w:r>
    </w:p>
    <w:p w14:paraId="2BCA8F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承担全市生态文明建设、乡村振兴及城乡绿化、森林经营、资源保护等科技咨询和技术服务。</w:t>
      </w:r>
    </w:p>
    <w:p w14:paraId="0C2761E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承担全市林业科普宣传和教育。</w:t>
      </w:r>
    </w:p>
    <w:p w14:paraId="795DA6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岳阳市林业局</w:t>
      </w:r>
      <w:r>
        <w:rPr>
          <w:rFonts w:hint="eastAsia" w:ascii="仿宋_GB2312" w:hAnsi="仿宋_GB2312" w:eastAsia="仿宋_GB2312" w:cs="仿宋_GB2312"/>
          <w:sz w:val="32"/>
          <w:szCs w:val="32"/>
        </w:rPr>
        <w:t>交办的其他任务</w:t>
      </w:r>
    </w:p>
    <w:p w14:paraId="023F85E4">
      <w:pPr>
        <w:widowControl/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二、机构设置及决算单位构成</w:t>
      </w:r>
    </w:p>
    <w:p w14:paraId="24F166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（一）内设机构设置。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岳阳市林业科学研究所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内设机构包括：</w:t>
      </w:r>
      <w:r>
        <w:rPr>
          <w:rFonts w:hint="eastAsia" w:ascii="仿宋" w:hAnsi="仿宋" w:eastAsia="仿宋" w:cs="仿宋"/>
          <w:sz w:val="32"/>
          <w:szCs w:val="32"/>
        </w:rPr>
        <w:t>办公室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、财务室、党建办、科研办、基地办、工会。</w:t>
      </w:r>
    </w:p>
    <w:p w14:paraId="51C456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（二）决算单位构成。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本单位无独立核算的下属单位，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2023年度部门决算汇总公开单位仅包括岳阳市林业科学研究所本级。</w:t>
      </w:r>
    </w:p>
    <w:p w14:paraId="2DB68214">
      <w:pPr>
        <w:jc w:val="left"/>
        <w:rPr>
          <w:rFonts w:ascii="仿宋_GB2312" w:eastAsia="仿宋_GB2312" w:hAnsiTheme="minorEastAsia"/>
          <w:sz w:val="28"/>
          <w:szCs w:val="32"/>
        </w:rPr>
      </w:pPr>
    </w:p>
    <w:p w14:paraId="63143293">
      <w:pPr>
        <w:jc w:val="center"/>
        <w:rPr>
          <w:rFonts w:ascii="黑体" w:hAnsi="黑体" w:eastAsia="黑体"/>
          <w:sz w:val="28"/>
          <w:szCs w:val="28"/>
        </w:rPr>
      </w:pPr>
    </w:p>
    <w:p w14:paraId="63A6A9DC">
      <w:pPr>
        <w:pStyle w:val="14"/>
        <w:jc w:val="both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27BCA93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170E8A5B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3E0C302">
      <w:pPr>
        <w:pStyle w:val="14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60C10A62">
      <w:pPr>
        <w:pStyle w:val="14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 w14:paraId="68C7CE79">
      <w:pPr>
        <w:widowControl/>
        <w:jc w:val="both"/>
        <w:rPr>
          <w:sz w:val="72"/>
          <w:szCs w:val="7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Cs w:val="21"/>
        </w:rPr>
        <w:br w:type="page"/>
      </w:r>
    </w:p>
    <w:p w14:paraId="57F29FF9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E4417D8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09E1D29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8D1CD05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5C610518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508A18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 w14:paraId="511FFD59">
      <w:pPr>
        <w:widowControl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br w:type="page"/>
      </w:r>
    </w:p>
    <w:p w14:paraId="544E5541">
      <w:pPr>
        <w:widowControl/>
        <w:ind w:firstLine="640" w:firstLineChars="200"/>
        <w:jc w:val="lef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022D3BB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22C2BA5C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2023年度收、支总计799.51万元。与上年相比，增加17.38万元，增长2.22%，主要是因为本年度增加了人员经费等。</w:t>
      </w:r>
    </w:p>
    <w:p w14:paraId="3032030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6886785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2023年度收入合计799.51万元，其中：财政拨款收入768.04万元，占96.06%；上级补助收入0万元，占0%；事业收入0万元，占0%；经营收入0万元，占0%；附属单位上缴收入0万元，占0%；其他收入31.47万元，占3.94%。</w:t>
      </w:r>
    </w:p>
    <w:p w14:paraId="29B4FA2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218EF72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2023年度支出合计799.51万元，其中：基本支出700.07万元，占87.56%；项目支出99.44万元，占12.44%；上缴上级支出0万元，占0%；经营支出0万元，占0%；对附属单位补助支出0万元，占0%。</w:t>
      </w:r>
    </w:p>
    <w:p w14:paraId="21A7676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584AACB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 xml:space="preserve"> 2023年度财政拨款收、支总计768.04万元，与上年相比，增加67.95万元,增长9.71%，主要是因为本年度增加了人员经费等。</w:t>
      </w:r>
    </w:p>
    <w:p w14:paraId="71C8327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45A7AFA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（一）一般公共预算财政拨款支出决算总体情况</w:t>
      </w:r>
    </w:p>
    <w:p w14:paraId="50E04F3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2023年度财政拨款支出768.04万元，占本年支出合计的96.06%，与上年相比，财政拨款支出增加67.95万元，增长9.71%，主要是因为本年度增加了人员经费等。</w:t>
      </w:r>
    </w:p>
    <w:p w14:paraId="661F916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80" w:firstLineChars="1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（二）一般公共预算财政拨款支出决算结构情况</w:t>
      </w:r>
    </w:p>
    <w:p w14:paraId="1E9453F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支出768.04万元，主要用于以下方面：社会保障和就业支出（类）40.90万元，占5.33%；卫生健康支出（类）37.50万元，占4.88%；节能环保支出（类）17万元，占2.21%；农林水支出（类）637.60万元，占83.02%；住房保障支出（类）35.04万元，占4.56%。</w:t>
      </w:r>
    </w:p>
    <w:p w14:paraId="4AC34C9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</w:rPr>
        <w:t>（三）一般公共预算财政拨款支出决算具体情况</w:t>
      </w:r>
    </w:p>
    <w:p w14:paraId="7F7AEEF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2023年度财政拨款支出年初预算数为768.04万元，支出决算数为768.04万元，完成年初预算的100%，其中：</w:t>
      </w:r>
    </w:p>
    <w:p w14:paraId="4DAB4224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Times New Roman" w:hAnsi="Times New Roman" w:eastAsia="仿宋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</w:rPr>
        <w:t>社会保障和就业支出（类）行政事业单位养老支出（款）机关事业单位基本养老保险缴费支出（项）。</w:t>
      </w:r>
    </w:p>
    <w:p w14:paraId="5F4563A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年初预算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6.17</w:t>
      </w:r>
      <w:r>
        <w:rPr>
          <w:rFonts w:hint="eastAsia" w:ascii="Times New Roman" w:hAnsi="Times New Roman" w:eastAsia="仿宋_GB2312"/>
          <w:sz w:val="32"/>
          <w:szCs w:val="32"/>
        </w:rPr>
        <w:t>万元，支出决算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6.17</w:t>
      </w:r>
      <w:r>
        <w:rPr>
          <w:rFonts w:hint="eastAsia" w:ascii="Times New Roman" w:hAnsi="Times New Roman" w:eastAsia="仿宋_GB2312"/>
          <w:sz w:val="32"/>
          <w:szCs w:val="32"/>
        </w:rPr>
        <w:t>万元，完成年初预算的100%。决算数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5B6DA9F5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社会保障和就业支出（类）抚恤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其他优抚支出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76560AE9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3.72万元，支出决算3.72万元，完成年初预算的100%。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34EABE9E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社会保障和就业支出（类）其他社会保障和就业支出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其他社会保障和就业支出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692C2C6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1.01万元，支出决算1.01万元，完成年初预算的100%。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193F64C0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800" w:firstLineChars="25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卫生健康支出（类）行政事业单位医疗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事业单位医疗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）。</w:t>
      </w:r>
    </w:p>
    <w:p w14:paraId="2A92272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37.50万元，支出决算37.50万元，完成年初预算的100%。</w:t>
      </w:r>
      <w:r>
        <w:rPr>
          <w:rFonts w:hint="eastAsia" w:ascii="Times New Roman" w:hAnsi="Times New Roman" w:eastAsia="仿宋_GB2312"/>
          <w:sz w:val="32"/>
          <w:szCs w:val="32"/>
        </w:rPr>
        <w:t>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年初预算数的主要原因是根据政策要求，支出决算数等于预算数，所以年末没有结余。</w:t>
      </w:r>
    </w:p>
    <w:p w14:paraId="6604ADD4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="0" w:leftChars="0" w:firstLine="800" w:firstLineChars="25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节能环保支出（类）其他节能环保支出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节能环保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764CDEC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17万元，支出决算17万元，完成年初预算的100%。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284DE244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一般行政管理事务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62752A3A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3.60万元，支出决算3.60万元，完成年初预算的100%。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1F3207B1">
      <w:pPr>
        <w:pStyle w:val="14"/>
        <w:numPr>
          <w:ilvl w:val="0"/>
          <w:numId w:val="2"/>
        </w:numPr>
        <w:ind w:left="0" w:leftChars="0" w:firstLine="800" w:firstLineChars="25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事业机构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5BA61E50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471.58万元，支出决算471.58万元，完成年初预算的100%。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0D7CB058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8、农林水支出（类）林业和草原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林业草原防灾减灾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2A0B0EA7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5.00万元，支出决算5.00万元，完成年初预算的100%。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04A90AA0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9、农林水支出（类）林业和草原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其他林业和草原支出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28439873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73.84万元，支出决算73.84万元，完成年初预算的100%。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2A2A3800">
      <w:pPr>
        <w:pStyle w:val="1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农林水支出（类）其他农林水支出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其他农林水支出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07D7C0A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83.59万元，支出决算83.59万元，完成年初预算的100%。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2EA0465B">
      <w:pPr>
        <w:pStyle w:val="14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住房保障支出（类）住房改革支出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（款）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住房公积金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（项）。</w:t>
      </w:r>
    </w:p>
    <w:p w14:paraId="4BE78271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年初预算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35.04万元，支出决算35.04万元，完成年初预算的100%。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决算数等于年初预算数的主要原因是根据政策要求，支出决算数等于预算数，所以年末没有结余。</w:t>
      </w:r>
    </w:p>
    <w:p w14:paraId="69870A3B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4F74217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2023年度财政拨款基本支出668.60万元，其中：</w:t>
      </w:r>
    </w:p>
    <w:p w14:paraId="74C6E43F">
      <w:pPr>
        <w:pStyle w:val="14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人员经费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605.06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万，占基本支出的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90.50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,主要包括主要包括基本工资、津贴补贴、</w:t>
      </w:r>
      <w:r>
        <w:rPr>
          <w:rFonts w:hint="eastAsia" w:ascii="仿宋" w:hAnsi="仿宋" w:eastAsia="仿宋" w:cs="仿宋"/>
          <w:color w:val="auto"/>
          <w:sz w:val="32"/>
          <w:szCs w:val="32"/>
          <w:lang w:val="zh-CN"/>
        </w:rPr>
        <w:t>奖金、伙食补助费、绩效工资、机关事业单位基本养老保险缴费、职工基本医疗保险缴费、其他社会保障缴费、住房公积金、退休人员其他补贴、抚恤金、生活补助、医疗费补助、其他对个人和家庭的补助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 w14:paraId="462386E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公用经费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63.54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万元，占基本支出的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9.50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，主要包括办公费、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印刷费、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水费、电费、邮电费、差旅费、维修（护）费、公务接待费、专用材料费、劳务费、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委托业务费、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工会经费、公务用车运行维护费、其他交通费用、其他商品和服务支出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6C1D5EFA">
      <w:pPr>
        <w:pStyle w:val="14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政府性基金预算收入支出决算情况</w:t>
      </w:r>
    </w:p>
    <w:p w14:paraId="79FE14F6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2023年度政府性基金预算财政拨款收入0万元；年初结转和结余0万元；支出0万元，其中基本支出0万元，项目支出0万元；年末结转和结余0万元。</w:t>
      </w:r>
    </w:p>
    <w:p w14:paraId="7158B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 w14:paraId="4D3D97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2023年度国有资本经营预算财政拨款收入0万元；年初结转和结余0万；支出0万元，其中：基本支出0万元，项目支出0万元；年末结转和结余0万元。</w:t>
      </w:r>
    </w:p>
    <w:p w14:paraId="001BCEB2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19899EF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（一）“三公”经费财政拨款支出决算总体情况说明</w:t>
      </w:r>
    </w:p>
    <w:p w14:paraId="13B0984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“三公”经费财政拨款支出预算为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5.4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5.4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预算数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，主要原因是我单位严格按预算执行决算。与上年一致，无增减变动。</w:t>
      </w:r>
      <w:r>
        <w:rPr>
          <w:rFonts w:hint="eastAsia" w:ascii="Times New Roman" w:hAnsi="Times New Roman" w:eastAsia="仿宋_GB2312"/>
          <w:sz w:val="32"/>
          <w:szCs w:val="32"/>
        </w:rPr>
        <w:t>其中：</w:t>
      </w:r>
    </w:p>
    <w:p w14:paraId="0ACFFCA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因公出国（境）费支出预算为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主要原因是我单位严格按预算执行决算；与上年一致，无增减变动，主要原因是未安排因公出国（境）活动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07BE244E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公务接待费支出预算为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决算数等于预算数，主要原因是严格执行中央八项规定；</w:t>
      </w:r>
      <w:r>
        <w:rPr>
          <w:rFonts w:hint="eastAsia" w:ascii="Times New Roman" w:hAnsi="Times New Roman" w:eastAsia="仿宋_GB2312"/>
          <w:sz w:val="32"/>
          <w:szCs w:val="32"/>
        </w:rPr>
        <w:t>与上年相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/>
          <w:sz w:val="32"/>
          <w:szCs w:val="32"/>
        </w:rPr>
        <w:t>,主要原因是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 xml:space="preserve">按有关政策厉行节约，严控公务接待支出。  </w:t>
      </w:r>
    </w:p>
    <w:p w14:paraId="5AD2E9F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公务用车购置费支出预算为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万元，决算数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等于</w:t>
      </w:r>
      <w:r>
        <w:rPr>
          <w:rFonts w:hint="eastAsia" w:ascii="Times New Roman" w:hAnsi="Times New Roman" w:eastAsia="仿宋_GB2312"/>
          <w:sz w:val="32"/>
          <w:szCs w:val="32"/>
        </w:rPr>
        <w:t>预算数的主要原因是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我单位严格按预算执行决算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 xml:space="preserve">与上年一致，无增减变动，主要原因是两年均未购置公务用车。  </w:t>
      </w:r>
    </w:p>
    <w:p w14:paraId="25F1F79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公务用车运行维护费支出预算为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决算数等于预算数，主要原因是我单位严格按预算执行决算；</w:t>
      </w:r>
      <w:r>
        <w:rPr>
          <w:rFonts w:hint="eastAsia" w:ascii="Times New Roman" w:hAnsi="Times New Roman" w:eastAsia="仿宋_GB2312"/>
          <w:sz w:val="32"/>
          <w:szCs w:val="32"/>
        </w:rPr>
        <w:t>与上年相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等，</w:t>
      </w:r>
      <w:r>
        <w:rPr>
          <w:rFonts w:hint="eastAsia" w:ascii="Times New Roman" w:hAnsi="Times New Roman" w:eastAsia="仿宋_GB2312"/>
          <w:sz w:val="32"/>
          <w:szCs w:val="32"/>
        </w:rPr>
        <w:t>主要原因是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贯彻落实公务用车制度改革精神，遵循车辆使用制度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 w14:paraId="63036EFD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 w:val="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sz w:val="32"/>
          <w:szCs w:val="32"/>
        </w:rPr>
        <w:t>（二）“三公”经费财政拨款支出决算具体情况说明</w:t>
      </w:r>
    </w:p>
    <w:p w14:paraId="03E99C8B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年度“三公”经费财政拨款支出决算中，公务接待费支出决算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52.59</w:t>
      </w:r>
      <w:r>
        <w:rPr>
          <w:rFonts w:hint="eastAsia" w:ascii="Times New Roman" w:hAnsi="Times New Roman" w:eastAsia="仿宋_GB2312"/>
          <w:sz w:val="32"/>
          <w:szCs w:val="32"/>
        </w:rPr>
        <w:t>%,因公出国（境）费支出决算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/>
          <w:sz w:val="32"/>
          <w:szCs w:val="32"/>
        </w:rPr>
        <w:t>%,公务用车购置费及运行维护费支出决算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47.41</w:t>
      </w:r>
      <w:r>
        <w:rPr>
          <w:rFonts w:hint="eastAsia" w:ascii="Times New Roman" w:hAnsi="Times New Roman" w:eastAsia="仿宋_GB2312"/>
          <w:sz w:val="32"/>
          <w:szCs w:val="32"/>
        </w:rPr>
        <w:t>%。其中：</w:t>
      </w:r>
    </w:p>
    <w:p w14:paraId="5ACE99ED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因公出国（境）费支出决算为0万元，全年安排因公出国（境）团组0个，累计0人次，我单位2023年度无因公出国（境）费支出。</w:t>
      </w:r>
    </w:p>
    <w:p w14:paraId="0BF8228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2、公务接待费支出决算为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2.84</w:t>
      </w:r>
      <w:r>
        <w:rPr>
          <w:rFonts w:hint="eastAsia" w:ascii="Times New Roman" w:hAnsi="Times New Roman" w:eastAsia="仿宋_GB2312"/>
          <w:sz w:val="32"/>
          <w:szCs w:val="32"/>
        </w:rPr>
        <w:t>万元，全年共接待来访团组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个、来宾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71</w:t>
      </w:r>
      <w:r>
        <w:rPr>
          <w:rFonts w:hint="eastAsia" w:ascii="Times New Roman" w:hAnsi="Times New Roman" w:eastAsia="仿宋_GB2312"/>
          <w:sz w:val="32"/>
          <w:szCs w:val="32"/>
        </w:rPr>
        <w:t>人次，主要是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主要是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用于与相关单位交流工作情况及接受上级相关部门检查指导工作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发生的接待支出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42C856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-SA"/>
        </w:rPr>
        <w:t>公务用车购置费及运行维护费支出决算为0万元，其中：公务用车购置费0万元，当年没有购置公务用车。</w:t>
      </w:r>
      <w:r>
        <w:rPr>
          <w:rFonts w:hint="eastAsia" w:ascii="Times New Roman" w:hAnsi="Times New Roman" w:eastAsia="仿宋_GB2312"/>
          <w:sz w:val="32"/>
          <w:szCs w:val="32"/>
        </w:rPr>
        <w:t>公务用车运行维护费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2.56</w:t>
      </w:r>
      <w:r>
        <w:rPr>
          <w:rFonts w:hint="eastAsia" w:ascii="Times New Roman" w:hAnsi="Times New Roman" w:eastAsia="仿宋_GB2312"/>
          <w:sz w:val="32"/>
          <w:szCs w:val="32"/>
        </w:rPr>
        <w:t>万元，主要是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用于单位基地生产性</w:t>
      </w:r>
      <w:r>
        <w:rPr>
          <w:rFonts w:hint="eastAsia" w:ascii="Times New Roman" w:hAnsi="Times New Roman" w:eastAsia="仿宋_GB2312"/>
          <w:sz w:val="32"/>
          <w:szCs w:val="32"/>
        </w:rPr>
        <w:t>支出，截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至</w:t>
      </w: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年12月31日，我单位开支财政拨款的公务用车保有量为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辆。</w:t>
      </w:r>
    </w:p>
    <w:p w14:paraId="67257F8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Times New Roman" w:hAnsi="Times New Roman" w:eastAsia="仿宋_GB2312"/>
          <w:b/>
          <w:color w:val="auto"/>
          <w:sz w:val="32"/>
          <w:szCs w:val="32"/>
        </w:rPr>
        <w:t>、关于机关运行经费支出说明</w:t>
      </w:r>
    </w:p>
    <w:p w14:paraId="1D6A168F">
      <w:pPr>
        <w:pStyle w:val="14"/>
        <w:ind w:firstLine="640" w:firstLineChars="200"/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color w:val="auto"/>
          <w:kern w:val="2"/>
          <w:sz w:val="32"/>
          <w:szCs w:val="32"/>
          <w:lang w:val="en-US" w:eastAsia="zh-CN" w:bidi="ar-SA"/>
        </w:rPr>
        <w:t>本级为事业单位，按照机关运行经费的口径，本年度机关运行经费为0。</w:t>
      </w:r>
    </w:p>
    <w:p w14:paraId="1DE61F25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 w14:paraId="5C984E86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年度，会议费年初预算0万元，支出决算为0万元。本单位无会议费的预算和支出决算数。</w:t>
      </w:r>
      <w:bookmarkStart w:id="0" w:name="_GoBack"/>
      <w:bookmarkEnd w:id="0"/>
    </w:p>
    <w:p w14:paraId="40549789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培训费年初预算0万元，支出决算为0万元，本单位无培训费的预算和支出决算数。</w:t>
      </w:r>
    </w:p>
    <w:p w14:paraId="79527FF0">
      <w:pPr>
        <w:pStyle w:val="14"/>
        <w:ind w:firstLine="640" w:firstLineChars="200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40"/>
          <w:szCs w:val="40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举办节庆、晚会、论坛、赛事活动年初预算0万元，支出决算为0万元，本单位无举办节庆、晚会、论坛、赛事等活动的预算和支出决算数。</w:t>
      </w:r>
    </w:p>
    <w:p w14:paraId="788CE298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14F9B0BF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本部门2023年度政府采购支出总额110.25万元，其中：政府采购货物支出43.61万元、政府采购工程支出59.56万元、政府采购服务支出7.08万元。授予中小企业合同金额59.56万元，占政府采购支出总额的54.02%，其中：授予小微企业合同金额59.56万元，占授予中小企业合同金额的100%。货物采购授予中小企业合同金额占货物支出金额的0%，工程采购授予中小企业合同金额占工程支出金额的100%，服务采购授予中小企业合同金额占服务支出金额的0%。</w:t>
      </w:r>
    </w:p>
    <w:p w14:paraId="4C8FC8C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 w14:paraId="7EFCFB1B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截至2023年12月31日，部门（单位）共有车辆1辆，其中，副部（省）级及以上领导用车0辆、主要负责人用车0辆、机要通信用车0辆、应急保障用车0辆、执法执勤用车0辆、特种专业技术用车0辆、离退休干部服务用车0辆、其他用车1辆，其他用车主要是单位基地生产性用车；单位价值100万元以上设备（不含车辆）0台（套）。</w:t>
      </w:r>
    </w:p>
    <w:p w14:paraId="1D5518EE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绩效情况的说明</w:t>
      </w:r>
    </w:p>
    <w:p w14:paraId="54905FB9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（一）绩效管理工作开展情况</w:t>
      </w:r>
    </w:p>
    <w:p w14:paraId="101D285A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根据预算绩效管理要求，我们组织对2023年度整体支出和项目资金实施了全覆盖性的绩效评价，撰写了绩效自评报告。</w:t>
      </w:r>
    </w:p>
    <w:p w14:paraId="4424BE2B">
      <w:pPr>
        <w:pStyle w:val="14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组织开展整体支出绩效评价，涉及一般公共预算支出768.04万元，政府性基金预算支出0万元，国有资本经营预算支出0万元。从评价情况来看，整体支出绩效评价中，2023年整体支出799.51万元，其中：基本支出700.07万元，项目支出99.44万元，本单位整体支出绩效自评综合评分94分，评价结果等次为优。</w:t>
      </w:r>
    </w:p>
    <w:p w14:paraId="2E45D244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组织对一般公共预算项目支出全面开展绩效自评，项目1个，共涉及资金99.44万元，占一般公共预算项目支出总额的100%。组织对政府性基金预算项目支出开展绩效自评，项目0个，共涉及资金0万元。组织对国有资本经营预算项目支出开展绩效自评，项目0个，共涉及资金0万元。从评价情况来看，项目绩效自评得分90分，评价结果等次为优。</w:t>
      </w:r>
    </w:p>
    <w:p w14:paraId="586C4A2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（二）单位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整体支出绩效情况</w:t>
      </w:r>
    </w:p>
    <w:p w14:paraId="7E17B9AA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根据年初设定的绩效目标，绩效自评得分为94分。全年预算数为799.51万元，执行数为799.51万元，完成预算的100%。</w:t>
      </w:r>
    </w:p>
    <w:p w14:paraId="3DE6F8F2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绩效目标完成情况：1.完成园区森林资源培育和生态修复等，造林绿化200亩、森林抚育200亩、低效林改造20亩。2.完成本年度在博览园开展的全民义务植树活动（主要包括林地清理、整地、挖穴约20亩，采购桂花、红枫、棱角山矾、大叶女贞、枫杨等苗木）。3.完成收集川三蕊柳野生种质资源，建立种质资源苗圃5亩，收集野生种质资源15份；以收集的川三蕊柳种质资源为实验材料，开展控制实验，从对重金属镉的耐受、富集等方面进行综合评价。4.完成在“湖南省岳阳国家级野生动植物疫源疫病南湖监测点和羊角山监测点”的日巡护和监测工作。5.开展林业技术咨询与服务，充分发挥项目的示范带动作用，促进科技与生产的结合；造林成活率达到90%以上、保存率达到80%以上，林木生长量提高15%。6.细化自身建设，保障资金高效运转。 </w:t>
      </w:r>
    </w:p>
    <w:p w14:paraId="4D658573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存在的问题及原因分析</w:t>
      </w:r>
    </w:p>
    <w:p w14:paraId="771D9D8A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发现的主要问题及原因：在预算编制阶段，基于单位年度可预见的任务，确立了预算目标并细化了预算指标。然而，在实际支出过程中，除了基本支出，单位还需承担一些未在财政预算中体现的刚性支出，如博览园基础设施建设和临聘人员费用等。这导致单位不得不从基本支出和项目经费中挤出资金，以填补这些额外支出，进而造成了预算标准与部门实际支出之间的差距。</w:t>
      </w:r>
    </w:p>
    <w:p w14:paraId="3532C045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在执行预算时，部分实际支出超出了原先设定的预算标准，这反映出在遵循预算指标方面的严格度有所欠缺。</w:t>
      </w:r>
    </w:p>
    <w:p w14:paraId="54A76D08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下一步改进措施：针对我市林业部门的实际情况，我们将全面强化资金管理的制度建设，遵循科学管理、操作简便和相互制衡的基本原则，实现资金的统一规划与集中管理。这一举措将从源头上根除资金挤占、挪用和截留的问题，同时，有效防控工程项目管理中的腐败行为，确保项目得以顺利推进，也便于我们进行资金的宏观调控和管理。</w:t>
      </w:r>
    </w:p>
    <w:p w14:paraId="27FD076D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 w14:paraId="0B01E80C">
      <w:pPr>
        <w:pStyle w:val="14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378FA333">
      <w:pPr>
        <w:pStyle w:val="14"/>
        <w:jc w:val="center"/>
        <w:rPr>
          <w:sz w:val="72"/>
          <w:szCs w:val="72"/>
        </w:rPr>
      </w:pPr>
    </w:p>
    <w:p w14:paraId="70BF0BC3">
      <w:pPr>
        <w:pStyle w:val="14"/>
        <w:jc w:val="center"/>
        <w:rPr>
          <w:sz w:val="72"/>
          <w:szCs w:val="72"/>
        </w:rPr>
      </w:pPr>
    </w:p>
    <w:p w14:paraId="5679BA47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FF2C15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5C31297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FCD2985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0EDF33E9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4F17F1D6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17AAD744"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br w:type="page"/>
      </w:r>
    </w:p>
    <w:p w14:paraId="48B73DFF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7B1B236A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二、机关运行经费，指为保障行政单位（包括参照公务员法管理的事业单位）运行用于购买货物和服务的各项资金，包括办公费、印刷费、邮电费、差旅费、会议费、日常维修费、专用材料及一般设备购置费、办公用房水电费、办公用房取暖费、办公用房物业管理费、公务用车运行维护费以及其他费用。</w:t>
      </w:r>
    </w:p>
    <w:p w14:paraId="034A7A7B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三、财政拨款收入：指市级财政当年拨付的资金。</w:t>
      </w:r>
    </w:p>
    <w:p w14:paraId="1B5B390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四、其他收入：指除“财政拨款收入”以外的收入。</w:t>
      </w:r>
    </w:p>
    <w:p w14:paraId="57F639C4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五、年初结转和结余：指以前年度尚未完成、结转到本年按有关规定继续使用的资金。</w:t>
      </w:r>
    </w:p>
    <w:p w14:paraId="7799272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六、社会保障和就业支出（类）行政事业单位养老支出（款）：指单位职工基本养老保险缴费。</w:t>
      </w:r>
    </w:p>
    <w:p w14:paraId="28615BC3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七、社会保障和就业支出（类）抚恤（款）：指单位职工死亡一次性抚恤费及遗属费。</w:t>
      </w:r>
    </w:p>
    <w:p w14:paraId="771964A7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八、社会保障和就业支出（类）其他社会保障和就业支出（款）：指职工工伤保险支出。</w:t>
      </w:r>
    </w:p>
    <w:p w14:paraId="722E7D25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九、卫生健康支出（类）行政事业单位医疗（款）：指单位职工基本医疗保险缴费。</w:t>
      </w:r>
    </w:p>
    <w:p w14:paraId="3FB30F4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2E540699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十、节能环保支出（类）其他节能环保支出（款）：指自然资源利用和保护专项经费。</w:t>
      </w:r>
    </w:p>
    <w:p w14:paraId="5A3368CE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一、农林水支出（类）林业和草原（款）：指单位年初部门预算安排经费；森林生态博览园运行维护费；野生动物疫源疫病监测巡护项目经费；义务植树经费；省级林业重点工作实验室经费；省级林业科技创新专项。</w:t>
      </w:r>
    </w:p>
    <w:p w14:paraId="66941803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十二、农林水支出（类）其他农林水支出（款）：指在职人员津贴、考核奖；在职人员养老、医疗保险；退休人员第13个月工资。</w:t>
      </w:r>
    </w:p>
    <w:p w14:paraId="402CEDB3">
      <w:pPr>
        <w:ind w:firstLine="640" w:firstLineChars="200"/>
        <w:jc w:val="left"/>
        <w:rPr>
          <w:rFonts w:hint="default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  <w:t>十三、住房保障支出（类）住房改革支出（款）：指单位职工住房公积金缴费。</w:t>
      </w:r>
    </w:p>
    <w:p w14:paraId="4A77C5CC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4BDF1EF7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3E7C2A8C">
      <w:pPr>
        <w:ind w:firstLine="640" w:firstLineChars="200"/>
        <w:jc w:val="left"/>
        <w:rPr>
          <w:rFonts w:hint="eastAsia" w:ascii="Times New Roman" w:hAnsi="Times New Roman" w:eastAsia="仿宋_GB2312" w:cs="黑体"/>
          <w:color w:val="000000"/>
          <w:kern w:val="0"/>
          <w:sz w:val="32"/>
          <w:szCs w:val="32"/>
          <w:lang w:val="en-US" w:eastAsia="zh-CN" w:bidi="ar-SA"/>
        </w:rPr>
      </w:pPr>
    </w:p>
    <w:p w14:paraId="718D17DE">
      <w:pPr>
        <w:pStyle w:val="14"/>
        <w:jc w:val="center"/>
        <w:rPr>
          <w:sz w:val="72"/>
          <w:szCs w:val="72"/>
        </w:rPr>
      </w:pPr>
    </w:p>
    <w:p w14:paraId="34A8DC78">
      <w:pPr>
        <w:pStyle w:val="14"/>
        <w:jc w:val="center"/>
        <w:rPr>
          <w:sz w:val="72"/>
          <w:szCs w:val="72"/>
        </w:rPr>
      </w:pPr>
    </w:p>
    <w:p w14:paraId="6F52A4A8">
      <w:pPr>
        <w:pStyle w:val="14"/>
        <w:jc w:val="center"/>
        <w:rPr>
          <w:sz w:val="72"/>
          <w:szCs w:val="72"/>
        </w:rPr>
      </w:pPr>
    </w:p>
    <w:p w14:paraId="202488D7">
      <w:pPr>
        <w:pStyle w:val="14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9ABEC11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6D9EC5B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2BD3425A">
      <w:pPr>
        <w:pStyle w:val="14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3749A14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 w14:paraId="5216DFE3">
      <w:pPr>
        <w:pStyle w:val="14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 w14:paraId="29B68EAB">
      <w:pPr>
        <w:pStyle w:val="14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 w14:paraId="30F6E0EF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1、2023年部门决算公开表格</w:t>
      </w:r>
    </w:p>
    <w:p w14:paraId="7D3FB0ED"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 w14:paraId="3F8E6816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 w14:paraId="6CC25805">
      <w:pPr>
        <w:pStyle w:val="14"/>
        <w:jc w:val="center"/>
        <w:rPr>
          <w:sz w:val="72"/>
          <w:szCs w:val="72"/>
        </w:rPr>
      </w:pPr>
    </w:p>
    <w:p w14:paraId="52CEBDD6">
      <w:pPr>
        <w:pStyle w:val="14"/>
        <w:jc w:val="center"/>
        <w:rPr>
          <w:sz w:val="72"/>
          <w:szCs w:val="72"/>
        </w:rPr>
      </w:pPr>
    </w:p>
    <w:p w14:paraId="4EA30671">
      <w:pPr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99E11"/>
    <w:multiLevelType w:val="singleLevel"/>
    <w:tmpl w:val="80399E1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81FEFE"/>
    <w:multiLevelType w:val="singleLevel"/>
    <w:tmpl w:val="A981FE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91EBEB2"/>
    <w:multiLevelType w:val="singleLevel"/>
    <w:tmpl w:val="B91EBEB2"/>
    <w:lvl w:ilvl="0" w:tentative="0">
      <w:start w:val="10"/>
      <w:numFmt w:val="decimal"/>
      <w:suff w:val="nothing"/>
      <w:lvlText w:val="%1、"/>
      <w:lvlJc w:val="left"/>
    </w:lvl>
  </w:abstractNum>
  <w:abstractNum w:abstractNumId="3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OTdiNGUyMDkyYWYyODlkYmNlZmZmODI0OGExNjAifQ==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20F5D"/>
    <w:rsid w:val="00F74360"/>
    <w:rsid w:val="00FB462F"/>
    <w:rsid w:val="00FE16FA"/>
    <w:rsid w:val="00FE328A"/>
    <w:rsid w:val="00FE6269"/>
    <w:rsid w:val="00FF5CD6"/>
    <w:rsid w:val="02655EFC"/>
    <w:rsid w:val="0571148D"/>
    <w:rsid w:val="073C2508"/>
    <w:rsid w:val="079C147C"/>
    <w:rsid w:val="07C630D9"/>
    <w:rsid w:val="08596C20"/>
    <w:rsid w:val="08856DEC"/>
    <w:rsid w:val="093F343F"/>
    <w:rsid w:val="09A73D27"/>
    <w:rsid w:val="09E86890"/>
    <w:rsid w:val="0A1B49A5"/>
    <w:rsid w:val="0BA13F4A"/>
    <w:rsid w:val="0C7E0CFC"/>
    <w:rsid w:val="0E574D87"/>
    <w:rsid w:val="103A226A"/>
    <w:rsid w:val="119E3BBD"/>
    <w:rsid w:val="14C91E0F"/>
    <w:rsid w:val="15357CDE"/>
    <w:rsid w:val="19E8590B"/>
    <w:rsid w:val="1B4D72F6"/>
    <w:rsid w:val="1CAD289B"/>
    <w:rsid w:val="1CB369A2"/>
    <w:rsid w:val="1D97DEFF"/>
    <w:rsid w:val="1DFF72E5"/>
    <w:rsid w:val="1EFC6F07"/>
    <w:rsid w:val="1FCB729D"/>
    <w:rsid w:val="1FFA7ACC"/>
    <w:rsid w:val="23907973"/>
    <w:rsid w:val="28E219C5"/>
    <w:rsid w:val="29EE193F"/>
    <w:rsid w:val="2B320F6B"/>
    <w:rsid w:val="2D5B0261"/>
    <w:rsid w:val="2E5C0C8E"/>
    <w:rsid w:val="2FDF85B8"/>
    <w:rsid w:val="2FFFEE04"/>
    <w:rsid w:val="300A1801"/>
    <w:rsid w:val="3192480E"/>
    <w:rsid w:val="32472899"/>
    <w:rsid w:val="3284589B"/>
    <w:rsid w:val="3344327C"/>
    <w:rsid w:val="34DF85B0"/>
    <w:rsid w:val="36D352F9"/>
    <w:rsid w:val="371C0798"/>
    <w:rsid w:val="37AD13F0"/>
    <w:rsid w:val="3B8F36BC"/>
    <w:rsid w:val="3C236125"/>
    <w:rsid w:val="3FA171EF"/>
    <w:rsid w:val="40C21860"/>
    <w:rsid w:val="43104F20"/>
    <w:rsid w:val="45872CB3"/>
    <w:rsid w:val="469D2F78"/>
    <w:rsid w:val="472E3BD0"/>
    <w:rsid w:val="48952158"/>
    <w:rsid w:val="491FF225"/>
    <w:rsid w:val="4B105AF2"/>
    <w:rsid w:val="4BA32DDE"/>
    <w:rsid w:val="4BD411EA"/>
    <w:rsid w:val="4FAA574F"/>
    <w:rsid w:val="4FFD214C"/>
    <w:rsid w:val="50260F32"/>
    <w:rsid w:val="51002139"/>
    <w:rsid w:val="51B15B29"/>
    <w:rsid w:val="51DF4511"/>
    <w:rsid w:val="52992845"/>
    <w:rsid w:val="5777D4F5"/>
    <w:rsid w:val="577E46FF"/>
    <w:rsid w:val="58F921EC"/>
    <w:rsid w:val="59DD8326"/>
    <w:rsid w:val="5AC3717C"/>
    <w:rsid w:val="5B486DE4"/>
    <w:rsid w:val="5B595267"/>
    <w:rsid w:val="5C383F59"/>
    <w:rsid w:val="5DEF592A"/>
    <w:rsid w:val="5F3B77FF"/>
    <w:rsid w:val="5FC6BB1E"/>
    <w:rsid w:val="5FF720F1"/>
    <w:rsid w:val="603D6F06"/>
    <w:rsid w:val="607F2081"/>
    <w:rsid w:val="60AD570E"/>
    <w:rsid w:val="6139713B"/>
    <w:rsid w:val="61DC08C3"/>
    <w:rsid w:val="62D17DD9"/>
    <w:rsid w:val="65075B51"/>
    <w:rsid w:val="67FF5C0B"/>
    <w:rsid w:val="6B5C6784"/>
    <w:rsid w:val="6B9E0A74"/>
    <w:rsid w:val="6CD2412B"/>
    <w:rsid w:val="6D031404"/>
    <w:rsid w:val="6EA43851"/>
    <w:rsid w:val="6EFC0924"/>
    <w:rsid w:val="6F181A4A"/>
    <w:rsid w:val="6F6C34FF"/>
    <w:rsid w:val="6F6E2AD8"/>
    <w:rsid w:val="6FB74722"/>
    <w:rsid w:val="6FEF8B7E"/>
    <w:rsid w:val="700A3468"/>
    <w:rsid w:val="71A6591B"/>
    <w:rsid w:val="72D778B4"/>
    <w:rsid w:val="737D59BA"/>
    <w:rsid w:val="738A025C"/>
    <w:rsid w:val="74F311B2"/>
    <w:rsid w:val="74F80974"/>
    <w:rsid w:val="773E4A2B"/>
    <w:rsid w:val="77C37683"/>
    <w:rsid w:val="781C57AE"/>
    <w:rsid w:val="7820118F"/>
    <w:rsid w:val="796725F3"/>
    <w:rsid w:val="79FF515B"/>
    <w:rsid w:val="7A3C4940"/>
    <w:rsid w:val="7A7430CC"/>
    <w:rsid w:val="7B3304EA"/>
    <w:rsid w:val="7B963118"/>
    <w:rsid w:val="7D07544D"/>
    <w:rsid w:val="7D4A2E89"/>
    <w:rsid w:val="7E342026"/>
    <w:rsid w:val="7E3F1920"/>
    <w:rsid w:val="7E7E2D0A"/>
    <w:rsid w:val="7E9E1962"/>
    <w:rsid w:val="7E9F11B4"/>
    <w:rsid w:val="7EEE170D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nhideWhenUsed="0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4">
    <w:name w:val="annotation subject"/>
    <w:basedOn w:val="5"/>
    <w:next w:val="1"/>
    <w:semiHidden/>
    <w:qFormat/>
    <w:uiPriority w:val="99"/>
    <w:rPr>
      <w:bCs/>
    </w:rPr>
  </w:style>
  <w:style w:type="paragraph" w:styleId="5">
    <w:name w:val="annotation text"/>
    <w:basedOn w:val="1"/>
    <w:semiHidden/>
    <w:qFormat/>
    <w:uiPriority w:val="99"/>
    <w:pPr>
      <w:jc w:val="left"/>
    </w:p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next w:val="2"/>
    <w:semiHidden/>
    <w:qFormat/>
    <w:uiPriority w:val="0"/>
    <w:pPr>
      <w:snapToGrid w:val="0"/>
      <w:jc w:val="left"/>
    </w:pPr>
    <w:rPr>
      <w:sz w:val="18"/>
      <w:szCs w:val="18"/>
    </w:r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1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6436</Words>
  <Characters>6967</Characters>
  <Lines>63</Lines>
  <Paragraphs>18</Paragraphs>
  <TotalTime>0</TotalTime>
  <ScaleCrop>false</ScaleCrop>
  <LinksUpToDate>false</LinksUpToDate>
  <CharactersWithSpaces>6983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2020-07-08T02:32:00Z</dcterms:created>
  <dc:creator>李航 null</dc:creator>
  <cp:lastModifiedBy>v蕾v</cp:lastModifiedBy>
  <cp:lastPrinted>2024-08-08T10:20:00Z</cp:lastPrinted>
  <dcterms:modified xsi:type="dcterms:W3CDTF">2025-07-25T07:51:23Z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43364A6B9E0045819115687A264F9134_13</vt:lpwstr>
  </property>
  <property fmtid="{D5CDD505-2E9C-101B-9397-08002B2CF9AE}" pid="4" name="KSOTemplateDocerSaveRecord">
    <vt:lpwstr>eyJoZGlkIjoiYjQyOTdiNGUyMDkyYWYyODlkYmNlZmZmODI0OGExNjAiLCJ1c2VySWQiOiIzOTMxNDIxNTEifQ==</vt:lpwstr>
  </property>
</Properties>
</file>