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34C42">
      <w:pPr>
        <w:pStyle w:val="14"/>
        <w:jc w:val="center"/>
        <w:rPr>
          <w:sz w:val="56"/>
          <w:szCs w:val="5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-297180</wp:posOffset>
                </wp:positionV>
                <wp:extent cx="1523365" cy="517525"/>
                <wp:effectExtent l="0" t="0" r="635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99590" y="935990"/>
                          <a:ext cx="1523365" cy="51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9143E"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>1：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6pt;margin-top:-23.4pt;height:40.75pt;width:119.95pt;z-index:251659264;mso-width-relative:page;mso-height-relative:page;" fillcolor="#FFFFFF [3201]" filled="t" stroked="f" coordsize="21600,21600" o:gfxdata="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cvAmUNYAAAAK&#10;AQAADwAAAAAAAAABACAAAAAiAAAAZHJzL2Rvd25yZXYueG1sUEsBAhQAFAAAAAgAh07iQEe/k8dX&#10;AgAAmgQAAA4AAAAAAAAAAQAgAAAAJQ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0F9143E"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>1：</w:t>
                      </w:r>
                    </w:p>
                  </w:txbxContent>
                </v:textbox>
              </v:shape>
            </w:pict>
          </mc:Fallback>
        </mc:AlternateContent>
      </w:r>
    </w:p>
    <w:p w14:paraId="75848ADA">
      <w:pPr>
        <w:pStyle w:val="14"/>
        <w:jc w:val="both"/>
        <w:rPr>
          <w:sz w:val="84"/>
          <w:szCs w:val="84"/>
        </w:rPr>
      </w:pPr>
    </w:p>
    <w:p w14:paraId="0AD5A3B9">
      <w:pPr>
        <w:pStyle w:val="14"/>
        <w:jc w:val="center"/>
        <w:rPr>
          <w:sz w:val="84"/>
          <w:szCs w:val="84"/>
        </w:rPr>
      </w:pPr>
    </w:p>
    <w:p w14:paraId="28B266D8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 w14:paraId="164AA58C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岳阳市林业科学研究所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 w14:paraId="3358E247">
      <w:pPr>
        <w:pStyle w:val="14"/>
        <w:jc w:val="both"/>
        <w:rPr>
          <w:sz w:val="32"/>
          <w:szCs w:val="32"/>
        </w:rPr>
      </w:pPr>
    </w:p>
    <w:p w14:paraId="141315E6">
      <w:pPr>
        <w:pStyle w:val="14"/>
        <w:jc w:val="both"/>
        <w:rPr>
          <w:sz w:val="32"/>
          <w:szCs w:val="32"/>
        </w:rPr>
      </w:pPr>
    </w:p>
    <w:p w14:paraId="4F5AD5C2">
      <w:pPr>
        <w:pStyle w:val="14"/>
        <w:jc w:val="both"/>
        <w:rPr>
          <w:sz w:val="32"/>
          <w:szCs w:val="32"/>
        </w:rPr>
      </w:pPr>
    </w:p>
    <w:p w14:paraId="3B139692">
      <w:pPr>
        <w:pStyle w:val="14"/>
        <w:jc w:val="center"/>
        <w:rPr>
          <w:sz w:val="32"/>
          <w:szCs w:val="32"/>
        </w:rPr>
      </w:pPr>
    </w:p>
    <w:p w14:paraId="3D9CB10F">
      <w:pPr>
        <w:pStyle w:val="14"/>
        <w:spacing w:line="540" w:lineRule="exact"/>
        <w:jc w:val="center"/>
        <w:rPr>
          <w:sz w:val="56"/>
          <w:szCs w:val="56"/>
        </w:rPr>
      </w:pPr>
    </w:p>
    <w:p w14:paraId="5F177B6C">
      <w:pPr>
        <w:pStyle w:val="14"/>
        <w:spacing w:line="500" w:lineRule="exact"/>
        <w:jc w:val="both"/>
        <w:rPr>
          <w:b/>
          <w:sz w:val="36"/>
          <w:szCs w:val="28"/>
        </w:rPr>
      </w:pPr>
    </w:p>
    <w:p w14:paraId="3DBD3353">
      <w:pPr>
        <w:pStyle w:val="14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72C9C6B3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岳阳市林业科学研究所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 w14:paraId="1710CC05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1846BA0F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及决算单位构成</w:t>
      </w:r>
    </w:p>
    <w:p w14:paraId="2AB49DCC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 w14:paraId="22C561D2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33DB55E5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47D50988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67068290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51D0C241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16337B0B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051036A2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6A03B9E3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2B4FF7B5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60AC750A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 w14:paraId="3991CA6E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1479A8DF"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35F559DE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 w14:paraId="67BC03C6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343B6CAD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3AFC31AB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4B8A0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 w14:paraId="0F247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 w14:paraId="65EDA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 w14:paraId="6C496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 w14:paraId="2405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635A5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 w14:paraId="1D105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 w14:paraId="2FB08ABD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绩效情况的说明</w:t>
      </w:r>
    </w:p>
    <w:p w14:paraId="29CAC31D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 w14:paraId="0758378A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 w14:paraId="33AE505A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 w14:paraId="703A15EB">
      <w:pPr>
        <w:jc w:val="center"/>
        <w:rPr>
          <w:sz w:val="72"/>
          <w:szCs w:val="72"/>
        </w:rPr>
      </w:pPr>
    </w:p>
    <w:p w14:paraId="1FA4836B">
      <w:pPr>
        <w:jc w:val="center"/>
        <w:rPr>
          <w:sz w:val="72"/>
          <w:szCs w:val="72"/>
        </w:rPr>
      </w:pPr>
    </w:p>
    <w:p w14:paraId="7F874FE2">
      <w:pPr>
        <w:jc w:val="center"/>
        <w:rPr>
          <w:sz w:val="72"/>
          <w:szCs w:val="72"/>
        </w:rPr>
      </w:pPr>
    </w:p>
    <w:p w14:paraId="6F07A47C">
      <w:pPr>
        <w:jc w:val="center"/>
        <w:rPr>
          <w:sz w:val="72"/>
          <w:szCs w:val="72"/>
        </w:rPr>
      </w:pPr>
    </w:p>
    <w:p w14:paraId="26BE6F4D">
      <w:pPr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D95018C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 w14:paraId="55212984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B0859AE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岳阳市林业科学研究所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概况</w:t>
      </w:r>
    </w:p>
    <w:p w14:paraId="32232906"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83C22FE"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5B296850">
      <w:pPr>
        <w:jc w:val="both"/>
        <w:rPr>
          <w:sz w:val="72"/>
          <w:szCs w:val="72"/>
        </w:rPr>
      </w:pPr>
    </w:p>
    <w:p w14:paraId="48E34A76">
      <w:pPr>
        <w:pStyle w:val="2"/>
        <w:ind w:left="0" w:leftChars="0" w:firstLine="0" w:firstLineChars="0"/>
        <w:rPr>
          <w:sz w:val="72"/>
          <w:szCs w:val="72"/>
        </w:rPr>
      </w:pPr>
    </w:p>
    <w:p w14:paraId="3C894948">
      <w:pPr>
        <w:pStyle w:val="15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 w14:paraId="4973E4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为机关提供支持保障的职能</w:t>
      </w:r>
    </w:p>
    <w:p w14:paraId="00DEC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.负责开展基础性、公益性林业科学研究，组织林业科技攻关。</w:t>
      </w:r>
    </w:p>
    <w:p w14:paraId="56DFEE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负责林业新成果、新技术与新产品的试验和推广。</w:t>
      </w:r>
    </w:p>
    <w:p w14:paraId="5F6C3A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承担林业科研项目，开展林业科研对外交流与合作。</w:t>
      </w:r>
    </w:p>
    <w:p w14:paraId="2EDEB1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面向社会提供公益服务的职能</w:t>
      </w:r>
    </w:p>
    <w:p w14:paraId="0FA7CC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.承担全市林业科技发展中长期规划制定。</w:t>
      </w:r>
    </w:p>
    <w:p w14:paraId="2BCA8F5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承担全市生态文明建设、乡村振兴及城乡绿化、森林经营、资源保护等科技咨询和技术服务。</w:t>
      </w:r>
    </w:p>
    <w:p w14:paraId="0C2761E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承担全市林业科普宣传和教育。</w:t>
      </w:r>
    </w:p>
    <w:p w14:paraId="795DA67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岳阳市林业局</w:t>
      </w:r>
      <w:r>
        <w:rPr>
          <w:rFonts w:hint="eastAsia" w:ascii="仿宋_GB2312" w:hAnsi="仿宋_GB2312" w:eastAsia="仿宋_GB2312" w:cs="仿宋_GB2312"/>
          <w:sz w:val="32"/>
          <w:szCs w:val="32"/>
        </w:rPr>
        <w:t>交办的其他任务</w:t>
      </w:r>
    </w:p>
    <w:p w14:paraId="023F85E4"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 w14:paraId="24F166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岳阳市林业科学研究所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内设机构包括：</w:t>
      </w:r>
      <w:r>
        <w:rPr>
          <w:rFonts w:hint="eastAsia" w:ascii="仿宋" w:hAnsi="仿宋" w:eastAsia="仿宋" w:cs="仿宋"/>
          <w:sz w:val="32"/>
          <w:szCs w:val="32"/>
        </w:rPr>
        <w:t>办公室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、财务室、党建办、科研办、基地办、工会。</w:t>
      </w:r>
    </w:p>
    <w:p w14:paraId="51C456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本单位无独立核算的下属单位，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2023年度部门决算汇总公开单位仅包括岳阳市林业科学研究所本级。</w:t>
      </w:r>
    </w:p>
    <w:p w14:paraId="2DB68214">
      <w:pPr>
        <w:jc w:val="left"/>
        <w:rPr>
          <w:rFonts w:ascii="仿宋_GB2312" w:eastAsia="仿宋_GB2312" w:hAnsiTheme="minorEastAsia"/>
          <w:sz w:val="28"/>
          <w:szCs w:val="32"/>
        </w:rPr>
      </w:pPr>
    </w:p>
    <w:p w14:paraId="63143293">
      <w:pPr>
        <w:jc w:val="center"/>
        <w:rPr>
          <w:rFonts w:ascii="黑体" w:hAnsi="黑体" w:eastAsia="黑体"/>
          <w:sz w:val="28"/>
          <w:szCs w:val="28"/>
        </w:rPr>
      </w:pPr>
    </w:p>
    <w:p w14:paraId="63A6A9DC">
      <w:pPr>
        <w:pStyle w:val="14"/>
        <w:jc w:val="both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27BCA93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170E8A5B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3E0C302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60C10A62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 w14:paraId="68C7CE79">
      <w:pPr>
        <w:widowControl/>
        <w:jc w:val="both"/>
        <w:rPr>
          <w:sz w:val="72"/>
          <w:szCs w:val="7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Cs w:val="21"/>
        </w:rPr>
        <w:br w:type="page"/>
      </w:r>
    </w:p>
    <w:p w14:paraId="57F29FF9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E4417D8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09E1D29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8D1CD05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 w14:paraId="5C610518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4508A18A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 w14:paraId="511FFD59">
      <w:pPr>
        <w:widowControl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br w:type="page"/>
      </w:r>
    </w:p>
    <w:p w14:paraId="544E5541">
      <w:pPr>
        <w:widowControl/>
        <w:ind w:firstLine="640" w:firstLineChars="200"/>
        <w:jc w:val="lef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决算编制时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至“金额单位：元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本套部门决算文字说明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和公开表格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取数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转换为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万元”，可能导致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以下文字说明中的各项数据取数以及公开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中的各项数据取数之间存在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0.01的尾数差异。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2、以下文字说明中，部分科目由于预算数为0，无法计算完成年初预算的百分比，故未描述“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完成年初预算的XX%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022D3BB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22C2BA5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2023年度收、支总计799.51万元。与上年相比，增加17.38万元，增长2.22%，主要是因为本年度增加了人员经费等。</w:t>
      </w:r>
    </w:p>
    <w:p w14:paraId="3032030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6886785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2023年度收入合计799.51万元，其中：财政拨款收入768.04万元，占96.06%；上级补助收入0万元，占0%；事业收入0万元，占0%；经营收入0万元，占0%；附属单位上缴收入0万元，占0%；其他收入31.47万元，占3.94%。</w:t>
      </w:r>
    </w:p>
    <w:p w14:paraId="29B4FA2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218EF72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2023年度支出合计799.51万元，其中：基本支出700.07万元，占87.56%；项目支出99.44万元，占12.44%；上缴上级支出0万元，占0%；经营支出0万元，占0%；对附属单位补助支出0万元，占0%。</w:t>
      </w:r>
    </w:p>
    <w:p w14:paraId="21A7676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584AACB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2023年度财政拨款收、支总计768.04万元，与上年相比，增加67.95万元,增长9.71%，主要是因为本年度增加了人员经费等。</w:t>
      </w:r>
    </w:p>
    <w:p w14:paraId="71C8327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45A7AFA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（一）一般公共预算财政拨款支出决算总体情况</w:t>
      </w:r>
    </w:p>
    <w:p w14:paraId="50E04F3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2023年度财政拨款支出768.04万元，占本年支出合计的96.06%，与上年相比，财政拨款支出增加67.95万元，增长9.71%，主要是因为本年度增加了人员经费等。</w:t>
      </w:r>
    </w:p>
    <w:p w14:paraId="661F916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80" w:firstLineChars="1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（二）一般公共预算财政拨款支出决算结构情况</w:t>
      </w:r>
    </w:p>
    <w:p w14:paraId="1E9453F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支出768.04万元，主要用于以下方面：社会保障和就业支出（类）40.90万元，占5.33%；卫生健康支出（类）37.50万元，占4.88%；节能环保支出（类）17万元，占2.21%；农林水支出（类）637.60万元，占83.02%；住房保障支出（类）35.04万元，占4.56%。</w:t>
      </w:r>
    </w:p>
    <w:p w14:paraId="4AC34C9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（三）一般公共预算财政拨款支出决算具体情况</w:t>
      </w:r>
    </w:p>
    <w:p w14:paraId="7F7AEEF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2023年度财政拨款支出年初预算数为768.04万元，支出决算数为768.04万元，完成年初预算的100%，其中：</w:t>
      </w:r>
    </w:p>
    <w:p w14:paraId="4DAB4224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</w:rPr>
        <w:t>社会保障和就业支出（类）行政事业单位养老支出（款）机关事业单位基本养老保险缴费支出（项）。</w:t>
      </w:r>
    </w:p>
    <w:p w14:paraId="5F4563A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6.17</w:t>
      </w:r>
      <w:r>
        <w:rPr>
          <w:rFonts w:hint="eastAsia" w:ascii="Times New Roman" w:hAnsi="Times New Roman" w:eastAsia="仿宋_GB2312"/>
          <w:sz w:val="32"/>
          <w:szCs w:val="32"/>
        </w:rPr>
        <w:t>万元，支出决算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6.17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万元，完成年初预算的100%。决算数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5B6DA9F5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社会保障和就业支出（类）抚恤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其他优抚支出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76560AE9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3.72万元，支出决算3.72万元，完成年初预算的100%。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34EABE9E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社会保障和就业支出（类）其他社会保障和就业支出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其他社会保障和就业支出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692C2C6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1.01万元，支出决算1.01万元，完成年初预算的100%。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193F64C0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800" w:firstLineChars="25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卫生健康支出（类）行政事业单位医疗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事业单位医疗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）。</w:t>
      </w:r>
    </w:p>
    <w:p w14:paraId="2A92272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37.50万元，支出决算37.50万元，完成年初预算的100%。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6604ADD4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800" w:firstLineChars="25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节能环保支出（类）其他节能环保支出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节能环保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764CDECD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17万元，支出决算17万元，完成年初预算的100%。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284DE244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一般行政管理事务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62752A3A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3.60万元，支出决算3.60万元，完成年初预算的100%。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1F3207B1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事业机构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5BA61E50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471.58万元，支出决算471.58万元，完成年初预算的100%。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0D7CB058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8、农林水支出（类）林业和草原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林业草原防灾减灾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2A0B0EA7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5.00万元，支出决算5.00万元，完成年初预算的100%。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04A90AA0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9、农林水支出（类）林业和草原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其他林业和草原支出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2843987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73.84万元，支出决算73.84万元，完成年初预算的100%。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2A2A3800">
      <w:pPr>
        <w:pStyle w:val="1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农林水支出（类）其他农林水支出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其他农林水支出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07D7C0A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83.59万元，支出决算83.59万元，完成年初预算的100%。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2EA0465B">
      <w:pPr>
        <w:pStyle w:val="1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住房保障支出（类）住房改革支出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住房公积金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4BE78271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35.04万元，支出决算35.04万元，完成年初预算的100%。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69870A3B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4F74217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2023年度财政拨款基本支出668.60万元，其中：</w:t>
      </w:r>
    </w:p>
    <w:p w14:paraId="74C6E43F"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人员经费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605.06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万，占基本支出的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90.50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,主要包括主要包括基本工资、津贴补贴、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奖金、伙食补助费、绩效工资、机关事业单位基本养老保险缴费、职工基本医疗保险缴费、其他社会保障缴费、住房公积金、退休人员其他补贴、抚恤金、生活补助、医疗费补助、其他对个人和家庭的补助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 w14:paraId="462386E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公用经费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63.54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万元，占基本支出的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9.50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，主要包括办公费、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印刷费、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水费、电费、邮电费、差旅费、维修（护）费、公务接待费、专用材料费、劳务费、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委托业务费、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工会经费、公务用车运行维护费、其他交通费用、其他商品和服务支出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6C1D5EFA">
      <w:pPr>
        <w:pStyle w:val="1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政府性基金预算收入支出决算情况</w:t>
      </w:r>
    </w:p>
    <w:p w14:paraId="79FE14F6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2023年度政府性基金预算财政拨款收入0万元；年初结转和结余0万元；支出0万元，其中基本支出0万元，项目支出0万元；年末结转和结余0万元。</w:t>
      </w:r>
    </w:p>
    <w:p w14:paraId="7158B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 w14:paraId="4D3D97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2023年度国有资本经营预算财政拨款收入0万元；年初结转和结余0万；支出0万元，其中：基本支出0万元，项目支出0万元；年末结转和结余0万元。</w:t>
      </w:r>
    </w:p>
    <w:p w14:paraId="001BCEB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 w14:paraId="19899EF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 w14:paraId="13B0984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“三公”经费财政拨款支出预算为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5.4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5.4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预算数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，主要原因是我单位严格按预算执行决算。</w:t>
      </w:r>
      <w:r>
        <w:rPr>
          <w:rFonts w:hint="eastAsia" w:ascii="Times New Roman" w:hAnsi="Times New Roman" w:eastAsia="仿宋_GB2312"/>
          <w:sz w:val="32"/>
          <w:szCs w:val="32"/>
        </w:rPr>
        <w:t>其中：</w:t>
      </w:r>
    </w:p>
    <w:p w14:paraId="0ACFFCA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因公出国（境）费支出预算为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主要原因是我单位严格按预算执行决算；与上年一致，无增减变动，主要原因是未安排因公出国（境）活动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07BE244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公务接待费支出预算为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决算数等于预算数，主要原因是严格执行中央八项规定；</w:t>
      </w:r>
      <w:r>
        <w:rPr>
          <w:rFonts w:hint="eastAsia" w:ascii="Times New Roman" w:hAnsi="Times New Roman" w:eastAsia="仿宋_GB2312"/>
          <w:sz w:val="32"/>
          <w:szCs w:val="32"/>
        </w:rPr>
        <w:t>与上年相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/>
          <w:sz w:val="32"/>
          <w:szCs w:val="32"/>
        </w:rPr>
        <w:t>,主要原因是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 xml:space="preserve">按有关政策厉行节约，严控公务接待支出。  </w:t>
      </w:r>
    </w:p>
    <w:p w14:paraId="5AD2E9FD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公务用车购置费支出预算为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预算数的主要原因是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我单位严格按预算执行决算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 xml:space="preserve">与上年一致，无增减变动，主要原因是两年均未购置公务用车。  </w:t>
      </w:r>
    </w:p>
    <w:p w14:paraId="25F1F79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公务用车运行维护费支出预算为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决算数等于预算数，主要原因是我单位严格按预算执行决算；</w:t>
      </w:r>
      <w:r>
        <w:rPr>
          <w:rFonts w:hint="eastAsia" w:ascii="Times New Roman" w:hAnsi="Times New Roman" w:eastAsia="仿宋_GB2312"/>
          <w:sz w:val="32"/>
          <w:szCs w:val="32"/>
        </w:rPr>
        <w:t>与上年相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等，</w:t>
      </w:r>
      <w:r>
        <w:rPr>
          <w:rFonts w:hint="eastAsia" w:ascii="Times New Roman" w:hAnsi="Times New Roman" w:eastAsia="仿宋_GB2312"/>
          <w:sz w:val="32"/>
          <w:szCs w:val="32"/>
        </w:rPr>
        <w:t>主要原因是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贯彻落实公务用车制度改革精神，遵循车辆使用制度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63036EF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 w14:paraId="03E99C8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52.59</w:t>
      </w:r>
      <w:r>
        <w:rPr>
          <w:rFonts w:hint="eastAsia" w:ascii="Times New Roman" w:hAnsi="Times New Roman" w:eastAsia="仿宋_GB2312"/>
          <w:sz w:val="32"/>
          <w:szCs w:val="32"/>
        </w:rPr>
        <w:t>%,因公出国（境）费支出决算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%,公务用车购置费及运行维护费支出决算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47.41</w:t>
      </w:r>
      <w:r>
        <w:rPr>
          <w:rFonts w:hint="eastAsia" w:ascii="Times New Roman" w:hAnsi="Times New Roman" w:eastAsia="仿宋_GB2312"/>
          <w:sz w:val="32"/>
          <w:szCs w:val="32"/>
        </w:rPr>
        <w:t>%。其中：</w:t>
      </w:r>
    </w:p>
    <w:p w14:paraId="5ACE99ED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因公出国（境）费支出决算为0万元，全年安排因公出国（境）团组0个，累计0人次，我单位2023年度无因公出国（境）费支出。</w:t>
      </w:r>
    </w:p>
    <w:p w14:paraId="0BF8228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2、公务接待费支出决算为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万元，全年共接待来访团组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个、来宾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71</w:t>
      </w:r>
      <w:r>
        <w:rPr>
          <w:rFonts w:hint="eastAsia" w:ascii="Times New Roman" w:hAnsi="Times New Roman" w:eastAsia="仿宋_GB2312"/>
          <w:sz w:val="32"/>
          <w:szCs w:val="32"/>
        </w:rPr>
        <w:t>人次，主要是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主要是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用于与相关单位交流工作情况及接受上级相关部门检查指导工作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发生的接待支出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42C856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公务用车购置费及运行维护费支出决算为0万元，其中：公务用车购置费0万元，当年没有购置公务用车。</w:t>
      </w:r>
      <w:r>
        <w:rPr>
          <w:rFonts w:hint="eastAsia" w:ascii="Times New Roman" w:hAnsi="Times New Roman" w:eastAsia="仿宋_GB2312"/>
          <w:sz w:val="32"/>
          <w:szCs w:val="32"/>
        </w:rPr>
        <w:t>公务用车运行维护费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用于单位基地生产性</w:t>
      </w:r>
      <w:r>
        <w:rPr>
          <w:rFonts w:hint="eastAsia" w:ascii="Times New Roman" w:hAnsi="Times New Roman" w:eastAsia="仿宋_GB2312"/>
          <w:sz w:val="32"/>
          <w:szCs w:val="32"/>
        </w:rPr>
        <w:t>支出，截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至</w:t>
      </w: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年12月31日，我单位开支财政拨款的公务用车保有量为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辆。</w:t>
      </w:r>
    </w:p>
    <w:p w14:paraId="67257F8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 w14:paraId="1D6A168F">
      <w:pPr>
        <w:pStyle w:val="14"/>
        <w:ind w:firstLine="640" w:firstLineChars="200"/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 w:bidi="ar-SA"/>
        </w:rPr>
        <w:t>本级为事业单位，按照机关运行经费的口径，本年度机关运行经费为0。</w:t>
      </w:r>
    </w:p>
    <w:p w14:paraId="1DE61F2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 w14:paraId="5C984E86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年度，会议费年初预算0万元，支出决算为0万元，完成年初预算的0%。本单位无会议费的预算和支出决算数。</w:t>
      </w:r>
    </w:p>
    <w:p w14:paraId="40549789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培训费年初预算0万元，支出决算为0万元，本单位无培训费的预算和支出决算数。</w:t>
      </w:r>
    </w:p>
    <w:p w14:paraId="79527FF0">
      <w:pPr>
        <w:pStyle w:val="14"/>
        <w:ind w:firstLine="640" w:firstLineChars="200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40"/>
          <w:szCs w:val="40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举办节庆、晚会、论坛、赛事活动年初预算0万元，支出决算为0万元，本单位无举办节庆、晚会、论坛、赛事等活动的预算和支出决算数。</w:t>
      </w:r>
    </w:p>
    <w:p w14:paraId="788CE29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 w14:paraId="14F9B0BF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本部门2023年度政府采购支出总额110.25万元，其中：政府采购货物支出43.61万元、政府采购工程支出59.56万元、政府采购服务支出7.08万元。授予中小企业合同金额59.56万元，占政府采购支出总额的54.02%，其中：授予小微企业合同金额59.56万元，占授予中小企业合同金额的100%。货物采购授予中小企业合同金额占货物支出金额的0%，工程采购授予中小企业合同金额占工程支出金额的100%，服务采购授予中小企业合同金额占服务支出金额的0%。</w:t>
      </w:r>
    </w:p>
    <w:p w14:paraId="4C8FC8C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 w14:paraId="7EFCFB1B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截至2023年12月31日，部门（单位）共有车辆1辆，其中，副部（省）级及以上领导用车0辆、主要负责人用车0辆、机要通信用车0辆、应急保障用车0辆、执法执勤用车0辆、特种专业技术用车0辆、离退休干部服务用车0辆、其他用车1辆，其他用车主要是单位基地生产性用车；单位价值100万元以上设备（不含车辆）0台（套）。</w:t>
      </w:r>
    </w:p>
    <w:p w14:paraId="1D5518E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绩效情况的说明</w:t>
      </w:r>
    </w:p>
    <w:p w14:paraId="54905FB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（一）绩效管理工作开展情况</w:t>
      </w:r>
    </w:p>
    <w:p w14:paraId="101D285A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根据预算绩效管理要求，我们组织对2023年度整体支出和项目资金实施了全覆盖性的绩效评价，撰写了绩效自评报告。</w:t>
      </w:r>
    </w:p>
    <w:p w14:paraId="4424BE2B">
      <w:pPr>
        <w:pStyle w:val="14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组织开展整体支出绩效评价，涉及一般公共预算支出768.04万元，政府性基金预算支出0万元，国有资本经营预算支出0万元。从评价情况来看，整体支出绩效评价中，2023年整体支出799.51万元，其中：基本支出700.07万元，项目支出99.44万元，本单位整体支出绩效自评综合评分94分，评价结果等次为优。</w:t>
      </w:r>
    </w:p>
    <w:p w14:paraId="2E45D244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组织对一般公共预算项目支出全面开展绩效自评，项目1个，共涉及资金99.44万元，占一般公共预算项目支出总额的100%。组织对政府性基金预算项目支出开展绩效自评，项目0个，共涉及资金0万元。组织对国有资本经营预算项目支出开展绩效自评，项目0个，共涉及资金0万元。从评价情况来看，项目绩效自评得分90分，评价结果等次为优。</w:t>
      </w:r>
    </w:p>
    <w:p w14:paraId="586C4A2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（二）单位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整体支出绩效情况</w:t>
      </w:r>
    </w:p>
    <w:p w14:paraId="7E17B9AA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根据年初设定的绩效目标，绩效自评得分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为94分。全年预算数为799.51万元，执行数为799.51万元，完成预算的100%。</w:t>
      </w:r>
    </w:p>
    <w:p w14:paraId="3DE6F8F2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绩效目标完成情况：1.完成园区森林资源培育和生态修复等，造林绿化200亩、森林抚育200亩、低效林改造20亩。2.完成本年度在博览园开展的全民义务植树活动（主要包括林地清理、整地、挖穴约20亩，采购桂花、红枫、棱角山矾、大叶女贞、枫杨等苗木）。3.完成收集川三蕊柳野生种质资源，建立种质资源苗圃5亩，收集野生种质资源15份；以收集的川三蕊柳种质资源为实验材料，开展控制实验，从对重金属镉的耐受、富集等方面进行综合评价。4.完成在“湖南省岳阳国家级野生动植物疫源疫病南湖监测点和羊角山监测点”的日巡护和监测工作。5.开展林业技术咨询与服务，充分发挥项目的示范带动作用，促进科技与生产的结合；造林成活率达到90%以上、保存率达到80%以上，林木生长量提高15%。6.细化自身建设，保障资金高效运转。 </w:t>
      </w:r>
    </w:p>
    <w:p w14:paraId="4D65857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 w14:paraId="771D9D8A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发现的主要问题及原因：在预算编制阶段，基于单位年度可预见的任务，确立了预算目标并细化了预算指标。然而，在实际支出过程中，除了基本支出，单位还需承担一些未在财政预算中体现的刚性支出，如博览园基础设施建设和临聘人员费用等。这导致单位不得不从基本支出和项目经费中挤出资金，以填补这些额外支出，进而造成了预算标准与部门实际支出之间的差距。</w:t>
      </w:r>
    </w:p>
    <w:p w14:paraId="3532C045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在执行预算时，部分实际支出超出了原先设定的预算标准，这反映出在遵循预算指标方面的严格度有所欠缺。</w:t>
      </w:r>
    </w:p>
    <w:p w14:paraId="54A76D08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下一步改进措施：针对我市林业部门的实际情况，我们将全面强化资金管理的制度建设，遵循科学管理、操作简便和相互制衡的基本原则，实现资金的统一规划与集中管理。这一举措将从源头上根除资金挤占、挪用和截留的问题，同时，有效防控工程项目管理中的腐败行为，确保项目得以顺利推进，也便于我们进行资金的宏观调控和管理。</w:t>
      </w:r>
    </w:p>
    <w:p w14:paraId="27FD076D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 w14:paraId="0B01E80C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378FA333">
      <w:pPr>
        <w:pStyle w:val="14"/>
        <w:jc w:val="center"/>
        <w:rPr>
          <w:sz w:val="72"/>
          <w:szCs w:val="72"/>
        </w:rPr>
      </w:pPr>
    </w:p>
    <w:p w14:paraId="70BF0BC3">
      <w:pPr>
        <w:pStyle w:val="14"/>
        <w:jc w:val="center"/>
        <w:rPr>
          <w:sz w:val="72"/>
          <w:szCs w:val="72"/>
        </w:rPr>
      </w:pPr>
    </w:p>
    <w:p w14:paraId="5679BA47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FF2C15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5C3129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FCD2985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 w14:paraId="0EDF33E9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 w14:paraId="4F17F1D6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 w14:paraId="17AAD744">
      <w:pPr>
        <w:widowControl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br w:type="page"/>
      </w:r>
    </w:p>
    <w:p w14:paraId="48B73DFF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7B1B236A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二、机关运行经费，指为保障行政单位（包括参照公务员法管理的事业单位）运行用于购买货物和服务的各项资金，包括办公费、印刷费、邮电费、差旅费、会议费、日常维修费、专用材料及一般设备购置费、办公用房水电费、办公用房取暖费、办公用房物业管理费、公务用车运行维护费以及其他费用。</w:t>
      </w:r>
    </w:p>
    <w:p w14:paraId="034A7A7B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三、财政拨款收入：指市级财政当年拨付的资金。</w:t>
      </w:r>
    </w:p>
    <w:p w14:paraId="1B5B390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四、其他收入：指除“财政拨款收入”以外的收入。</w:t>
      </w:r>
    </w:p>
    <w:p w14:paraId="57F639C4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五、年初结转和结余：指以前年度尚未完成、结转到本年按有关规定继续使用的资金。</w:t>
      </w:r>
    </w:p>
    <w:p w14:paraId="7799272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六、社会保障和就业支出（类）行政事业单位养老支出（款）：指单位职工基本养老保险缴费。</w:t>
      </w:r>
    </w:p>
    <w:p w14:paraId="28615BC3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七、社会保障和就业支出（类）抚恤（款）：指单位职工死亡一次性抚恤费及遗属费。</w:t>
      </w:r>
    </w:p>
    <w:p w14:paraId="771964A7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八、社会保障和就业支出（类）其他社会保障和就业支出（款）：指职工工伤保险支出。</w:t>
      </w:r>
    </w:p>
    <w:p w14:paraId="722E7D25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九、卫生健康支出（类）行政事业单位医疗（款）：指单位职工基本医疗保险缴费。</w:t>
      </w:r>
    </w:p>
    <w:p w14:paraId="3FB30F4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2E54069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十、节能环保支出（类）其他节能环保支出（款）：指自然资源利用和保护专项经费。</w:t>
      </w:r>
    </w:p>
    <w:p w14:paraId="5A3368CE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一、农林水支出（类）林业和草原（款）：指单位年初部门预算安排经费；森林生态博览园运行维护费；野生动物疫源疫病监测巡护项目经费；义务植树经费；省级林业重点工作实验室经费；省级林业科技创新专项。</w:t>
      </w:r>
    </w:p>
    <w:p w14:paraId="66941803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十二、农林水支出（类）其他农林水支出（款）：指在职人员津贴、考核奖；在职人员养老、医疗保险；退休人员第13个月工资。</w:t>
      </w:r>
    </w:p>
    <w:p w14:paraId="402CEDB3">
      <w:pPr>
        <w:ind w:firstLine="640" w:firstLineChars="200"/>
        <w:jc w:val="left"/>
        <w:rPr>
          <w:rFonts w:hint="default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十三、住房保障支出（类）住房改革支出（款）：指单位职工住房公积金缴费。</w:t>
      </w:r>
    </w:p>
    <w:p w14:paraId="4A77C5CC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4BDF1EF7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3E7C2A8C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718D17DE">
      <w:pPr>
        <w:pStyle w:val="14"/>
        <w:jc w:val="center"/>
        <w:rPr>
          <w:sz w:val="72"/>
          <w:szCs w:val="72"/>
        </w:rPr>
      </w:pPr>
    </w:p>
    <w:p w14:paraId="34A8DC78">
      <w:pPr>
        <w:pStyle w:val="14"/>
        <w:jc w:val="center"/>
        <w:rPr>
          <w:sz w:val="72"/>
          <w:szCs w:val="72"/>
        </w:rPr>
      </w:pPr>
    </w:p>
    <w:p w14:paraId="6F52A4A8">
      <w:pPr>
        <w:pStyle w:val="14"/>
        <w:jc w:val="center"/>
        <w:rPr>
          <w:sz w:val="72"/>
          <w:szCs w:val="72"/>
        </w:rPr>
      </w:pPr>
    </w:p>
    <w:p w14:paraId="202488D7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9ABEC11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6D9EC5B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BD3425A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3749A14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 w14:paraId="5216DFE3">
      <w:pPr>
        <w:pStyle w:val="14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 w14:paraId="29B68EAB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 w14:paraId="30F6E0EF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 w14:paraId="7D3FB0ED"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 w14:paraId="3F8E681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6CC25805">
      <w:pPr>
        <w:pStyle w:val="14"/>
        <w:jc w:val="center"/>
        <w:rPr>
          <w:sz w:val="72"/>
          <w:szCs w:val="72"/>
        </w:rPr>
      </w:pPr>
    </w:p>
    <w:p w14:paraId="52CEBDD6">
      <w:pPr>
        <w:pStyle w:val="14"/>
        <w:jc w:val="center"/>
        <w:rPr>
          <w:sz w:val="72"/>
          <w:szCs w:val="72"/>
        </w:rPr>
      </w:pPr>
    </w:p>
    <w:p w14:paraId="4EA30671">
      <w:pPr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99E11"/>
    <w:multiLevelType w:val="singleLevel"/>
    <w:tmpl w:val="80399E1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81FEFE"/>
    <w:multiLevelType w:val="singleLevel"/>
    <w:tmpl w:val="A981FE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91EBEB2"/>
    <w:multiLevelType w:val="singleLevel"/>
    <w:tmpl w:val="B91EBEB2"/>
    <w:lvl w:ilvl="0" w:tentative="0">
      <w:start w:val="10"/>
      <w:numFmt w:val="decimal"/>
      <w:suff w:val="nothing"/>
      <w:lvlText w:val="%1、"/>
      <w:lvlJc w:val="left"/>
    </w:lvl>
  </w:abstractNum>
  <w:abstractNum w:abstractNumId="3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OTdiNGUyMDkyYWYyODlkYmNlZmZmODI0OGExNjAifQ==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20F5D"/>
    <w:rsid w:val="00F74360"/>
    <w:rsid w:val="00FB462F"/>
    <w:rsid w:val="00FE16FA"/>
    <w:rsid w:val="00FE328A"/>
    <w:rsid w:val="00FE6269"/>
    <w:rsid w:val="00FF5CD6"/>
    <w:rsid w:val="02655EFC"/>
    <w:rsid w:val="0571148D"/>
    <w:rsid w:val="073C2508"/>
    <w:rsid w:val="079C147C"/>
    <w:rsid w:val="07C630D9"/>
    <w:rsid w:val="08596C20"/>
    <w:rsid w:val="08856DEC"/>
    <w:rsid w:val="09A73D27"/>
    <w:rsid w:val="09E86890"/>
    <w:rsid w:val="0A1B49A5"/>
    <w:rsid w:val="0BA13F4A"/>
    <w:rsid w:val="0C7E0CFC"/>
    <w:rsid w:val="0E574D87"/>
    <w:rsid w:val="103A226A"/>
    <w:rsid w:val="119E3BBD"/>
    <w:rsid w:val="14C91E0F"/>
    <w:rsid w:val="15357CDE"/>
    <w:rsid w:val="19E8590B"/>
    <w:rsid w:val="1CAD289B"/>
    <w:rsid w:val="1CB369A2"/>
    <w:rsid w:val="1D97DEFF"/>
    <w:rsid w:val="1DFF72E5"/>
    <w:rsid w:val="1EFC6F07"/>
    <w:rsid w:val="1FCB729D"/>
    <w:rsid w:val="1FFA7ACC"/>
    <w:rsid w:val="23907973"/>
    <w:rsid w:val="28E219C5"/>
    <w:rsid w:val="29EE193F"/>
    <w:rsid w:val="2B320F6B"/>
    <w:rsid w:val="2E5C0C8E"/>
    <w:rsid w:val="2FDF85B8"/>
    <w:rsid w:val="2FFFEE04"/>
    <w:rsid w:val="300A1801"/>
    <w:rsid w:val="3192480E"/>
    <w:rsid w:val="32472899"/>
    <w:rsid w:val="3284589B"/>
    <w:rsid w:val="3344327C"/>
    <w:rsid w:val="34DF85B0"/>
    <w:rsid w:val="36D352F9"/>
    <w:rsid w:val="37AD13F0"/>
    <w:rsid w:val="3B8F36BC"/>
    <w:rsid w:val="3C236125"/>
    <w:rsid w:val="3FA171EF"/>
    <w:rsid w:val="40C21860"/>
    <w:rsid w:val="43104F20"/>
    <w:rsid w:val="45872CB3"/>
    <w:rsid w:val="472E3BD0"/>
    <w:rsid w:val="48952158"/>
    <w:rsid w:val="491FF225"/>
    <w:rsid w:val="4B105AF2"/>
    <w:rsid w:val="4BD411EA"/>
    <w:rsid w:val="4FAA574F"/>
    <w:rsid w:val="4FFD214C"/>
    <w:rsid w:val="50260F32"/>
    <w:rsid w:val="51002139"/>
    <w:rsid w:val="51B15B29"/>
    <w:rsid w:val="51DF4511"/>
    <w:rsid w:val="52992845"/>
    <w:rsid w:val="5777D4F5"/>
    <w:rsid w:val="58F921EC"/>
    <w:rsid w:val="59DD8326"/>
    <w:rsid w:val="5AC3717C"/>
    <w:rsid w:val="5B486DE4"/>
    <w:rsid w:val="5B595267"/>
    <w:rsid w:val="5C383F59"/>
    <w:rsid w:val="5DEF592A"/>
    <w:rsid w:val="5F3B77FF"/>
    <w:rsid w:val="5FC6BB1E"/>
    <w:rsid w:val="5FF720F1"/>
    <w:rsid w:val="603D6F06"/>
    <w:rsid w:val="607F2081"/>
    <w:rsid w:val="60AD570E"/>
    <w:rsid w:val="6139713B"/>
    <w:rsid w:val="61DC08C3"/>
    <w:rsid w:val="62D17DD9"/>
    <w:rsid w:val="65075B51"/>
    <w:rsid w:val="67FF5C0B"/>
    <w:rsid w:val="6B5C6784"/>
    <w:rsid w:val="6B9E0A74"/>
    <w:rsid w:val="6CD2412B"/>
    <w:rsid w:val="6D031404"/>
    <w:rsid w:val="6EA43851"/>
    <w:rsid w:val="6EFC0924"/>
    <w:rsid w:val="6F181A4A"/>
    <w:rsid w:val="6F6C34FF"/>
    <w:rsid w:val="6F6E2AD8"/>
    <w:rsid w:val="6FB74722"/>
    <w:rsid w:val="6FEF8B7E"/>
    <w:rsid w:val="700A3468"/>
    <w:rsid w:val="71A6591B"/>
    <w:rsid w:val="72D778B4"/>
    <w:rsid w:val="737D59BA"/>
    <w:rsid w:val="738A025C"/>
    <w:rsid w:val="74F311B2"/>
    <w:rsid w:val="74F80974"/>
    <w:rsid w:val="773E4A2B"/>
    <w:rsid w:val="77C37683"/>
    <w:rsid w:val="781C57AE"/>
    <w:rsid w:val="796725F3"/>
    <w:rsid w:val="79FF515B"/>
    <w:rsid w:val="7A3C4940"/>
    <w:rsid w:val="7A7430CC"/>
    <w:rsid w:val="7B3304EA"/>
    <w:rsid w:val="7B963118"/>
    <w:rsid w:val="7D07544D"/>
    <w:rsid w:val="7E342026"/>
    <w:rsid w:val="7E3F1920"/>
    <w:rsid w:val="7E7E2D0A"/>
    <w:rsid w:val="7E9E1962"/>
    <w:rsid w:val="7E9F11B4"/>
    <w:rsid w:val="7EEE170D"/>
    <w:rsid w:val="7F37EC1E"/>
    <w:rsid w:val="7F7DCD9D"/>
    <w:rsid w:val="7F970A6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4">
    <w:name w:val="annotation subject"/>
    <w:basedOn w:val="5"/>
    <w:next w:val="1"/>
    <w:semiHidden/>
    <w:qFormat/>
    <w:uiPriority w:val="99"/>
    <w:rPr>
      <w:bCs/>
    </w:rPr>
  </w:style>
  <w:style w:type="paragraph" w:styleId="5">
    <w:name w:val="annotation text"/>
    <w:basedOn w:val="1"/>
    <w:semiHidden/>
    <w:qFormat/>
    <w:uiPriority w:val="99"/>
    <w:pPr>
      <w:jc w:val="left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next w:val="2"/>
    <w:semiHidden/>
    <w:qFormat/>
    <w:uiPriority w:val="0"/>
    <w:pPr>
      <w:snapToGrid w:val="0"/>
      <w:jc w:val="left"/>
    </w:pPr>
    <w:rPr>
      <w:sz w:val="18"/>
      <w:szCs w:val="18"/>
    </w:r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6440</Words>
  <Characters>6971</Characters>
  <Lines>63</Lines>
  <Paragraphs>18</Paragraphs>
  <TotalTime>218</TotalTime>
  <ScaleCrop>false</ScaleCrop>
  <LinksUpToDate>false</LinksUpToDate>
  <CharactersWithSpaces>6987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李航 null</dc:creator>
  <cp:lastModifiedBy>v蕾v</cp:lastModifiedBy>
  <cp:lastPrinted>2024-08-08T10:20:00Z</cp:lastPrinted>
  <dcterms:modified xsi:type="dcterms:W3CDTF">2024-09-19T07:41:03Z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43364A6B9E0045819115687A264F9134_13</vt:lpwstr>
  </property>
</Properties>
</file>