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Style w:val="6"/>
        <w:tblW w:w="15306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1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  <w:r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  <w:t xml:space="preserve">  </w:t>
            </w:r>
            <w:r>
              <w:rPr>
                <w:rFonts w:hint="eastAsia" w:ascii="微软雅黑" w:hAnsi="Times New Roman" w:eastAsia="微软雅黑" w:cs="微软雅黑"/>
                <w:b/>
                <w:bCs/>
                <w:sz w:val="84"/>
                <w:szCs w:val="84"/>
              </w:rPr>
              <w:t>岳阳市林业局</w:t>
            </w: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  <w:r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  <w:t xml:space="preserve">  2023</w:t>
            </w:r>
            <w:r>
              <w:rPr>
                <w:rFonts w:hint="eastAsia" w:ascii="微软雅黑" w:hAnsi="Times New Roman" w:eastAsia="微软雅黑" w:cs="微软雅黑"/>
                <w:b/>
                <w:bCs/>
                <w:sz w:val="84"/>
                <w:szCs w:val="84"/>
              </w:rPr>
              <w:t>年度部门预算</w:t>
            </w: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</w:p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</w:p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第一部分</w:t>
            </w:r>
            <w:r>
              <w:rPr>
                <w:rFonts w:ascii="仿宋_GB2312" w:hAnsi="Times New Roman" w:eastAsia="仿宋_GB2312" w:cs="Dialog"/>
                <w:sz w:val="32"/>
                <w:szCs w:val="32"/>
              </w:rPr>
              <w:t xml:space="preserve">  2023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年部门预算说明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第二部分</w:t>
            </w:r>
            <w:r>
              <w:rPr>
                <w:rFonts w:ascii="仿宋_GB2312" w:hAnsi="Times New Roman" w:eastAsia="仿宋_GB2312" w:cs="Dialog"/>
                <w:sz w:val="32"/>
                <w:szCs w:val="32"/>
              </w:rPr>
              <w:t xml:space="preserve">  2023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年部门预算公开表格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1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、收支总表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2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、收入总表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3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、支出总表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4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、支出预算分类汇总表（按政府预算经济分类）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5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、支出预算分类汇总表（按部门预算经济分类）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6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、财政拨款收支总表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7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、一般公共预算支出表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8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、一般公共预算基本支出表</w:t>
            </w:r>
            <w:r>
              <w:rPr>
                <w:rFonts w:ascii="仿宋_GB2312" w:hAnsi="Times New Roman" w:eastAsia="仿宋_GB2312" w:cs="Dialog"/>
                <w:sz w:val="32"/>
                <w:szCs w:val="32"/>
              </w:rPr>
              <w:t>-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人员经费（工资福利支出）（按政府预算经济分类）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9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、一般公共预算基本支出表</w:t>
            </w:r>
            <w:r>
              <w:rPr>
                <w:rFonts w:ascii="仿宋_GB2312" w:hAnsi="Times New Roman" w:eastAsia="仿宋_GB2312" w:cs="Dialog"/>
                <w:sz w:val="32"/>
                <w:szCs w:val="32"/>
              </w:rPr>
              <w:t>-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人员经费（工资福利支出）（按部门预算经济分类）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10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、一般公共预算基本支出表</w:t>
            </w:r>
            <w:r>
              <w:rPr>
                <w:rFonts w:ascii="仿宋_GB2312" w:hAnsi="Times New Roman" w:eastAsia="仿宋_GB2312" w:cs="Dialog"/>
                <w:sz w:val="32"/>
                <w:szCs w:val="32"/>
              </w:rPr>
              <w:t>-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人员经费（对个人和家庭的补助）（按政府预算经济分类）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11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、一般公共预算基本支出表</w:t>
            </w:r>
            <w:r>
              <w:rPr>
                <w:rFonts w:ascii="仿宋_GB2312" w:hAnsi="Times New Roman" w:eastAsia="仿宋_GB2312" w:cs="Dialog"/>
                <w:sz w:val="32"/>
                <w:szCs w:val="32"/>
              </w:rPr>
              <w:t>-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人员经费（对个人和家庭的补助）（按部门预算经济分类）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12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、一般公共预算基本支出表</w:t>
            </w:r>
            <w:r>
              <w:rPr>
                <w:rFonts w:ascii="仿宋_GB2312" w:hAnsi="Times New Roman" w:eastAsia="仿宋_GB2312" w:cs="Dialog"/>
                <w:sz w:val="32"/>
                <w:szCs w:val="32"/>
              </w:rPr>
              <w:t>-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公用经费（商品和服务支出）（按政府预算经济分类）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13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、一般公共预算基本支出表</w:t>
            </w:r>
            <w:r>
              <w:rPr>
                <w:rFonts w:ascii="仿宋_GB2312" w:hAnsi="Times New Roman" w:eastAsia="仿宋_GB2312" w:cs="Dialog"/>
                <w:sz w:val="32"/>
                <w:szCs w:val="32"/>
              </w:rPr>
              <w:t>-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公用经费（商品和服务支出）（按部门预算经济分类）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14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、一般公共预算“三公”经费支出表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15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、政府性基金预算支出表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16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、政府性基金预算支出分类汇总表（按政府预算经济分类）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17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、政府性基金预算支出分类汇总表（按部门预算经济分类）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18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、国有资本经营预算支出表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19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、财政专户管理资金预算支出表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20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、专项资金预算汇总表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21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、项目支出绩效目标表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22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、部门整体支出绩效目标表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sz w:val="32"/>
                <w:szCs w:val="32"/>
              </w:rPr>
            </w:pPr>
            <w:r>
              <w:rPr>
                <w:rFonts w:ascii="仿宋_GB2312" w:hAnsi="Times New Roman" w:eastAsia="仿宋_GB2312" w:cs="Dialog"/>
                <w:sz w:val="32"/>
                <w:szCs w:val="32"/>
              </w:rPr>
              <w:t>23</w:t>
            </w:r>
            <w:r>
              <w:rPr>
                <w:rFonts w:hint="eastAsia" w:ascii="仿宋_GB2312" w:hAnsi="Times New Roman" w:eastAsia="仿宋_GB2312" w:cs="Dialog"/>
                <w:sz w:val="32"/>
                <w:szCs w:val="32"/>
              </w:rPr>
              <w:t>、一般公共预算基本支出表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Dialog"/>
                <w:color w:val="auto"/>
                <w:sz w:val="32"/>
                <w:szCs w:val="32"/>
              </w:rPr>
              <w:t>注：以上部门预算公开报表中，空表表示本部门无相关收支情况。</w:t>
            </w:r>
          </w:p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color w:val="FF0000"/>
                <w:sz w:val="32"/>
                <w:szCs w:val="32"/>
              </w:rPr>
            </w:pPr>
          </w:p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color w:val="FF0000"/>
                <w:sz w:val="32"/>
                <w:szCs w:val="32"/>
              </w:rPr>
            </w:pPr>
          </w:p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color w:val="FF0000"/>
                <w:sz w:val="32"/>
                <w:szCs w:val="32"/>
              </w:rPr>
            </w:pPr>
          </w:p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color w:val="FF0000"/>
                <w:sz w:val="32"/>
                <w:szCs w:val="32"/>
              </w:rPr>
            </w:pPr>
          </w:p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color w:val="FF0000"/>
                <w:sz w:val="32"/>
                <w:szCs w:val="32"/>
              </w:rPr>
            </w:pPr>
          </w:p>
          <w:p>
            <w:pPr>
              <w:ind w:firstLine="640" w:firstLineChars="200"/>
              <w:jc w:val="both"/>
              <w:rPr>
                <w:rFonts w:ascii="仿宋_GB2312" w:hAnsi="Times New Roman" w:eastAsia="仿宋_GB2312" w:cs="Dialog"/>
                <w:color w:val="FF000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Times New Roman" w:eastAsia="仿宋_GB2312" w:cs="Dialog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jc w:val="center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第一部分</w:t>
            </w: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2023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年部门预算说明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0" w:firstLineChars="200"/>
              <w:jc w:val="both"/>
              <w:textAlignment w:val="auto"/>
              <w:rPr>
                <w:rFonts w:ascii="黑体" w:hAnsi="Times New Roman" w:eastAsia="黑体" w:cs="Dialog"/>
                <w:sz w:val="32"/>
                <w:szCs w:val="32"/>
              </w:rPr>
            </w:pPr>
            <w:r>
              <w:rPr>
                <w:rFonts w:hint="eastAsia" w:ascii="黑体" w:hAnsi="Times New Roman" w:eastAsia="黑体" w:cs="Dialog"/>
                <w:sz w:val="32"/>
                <w:szCs w:val="32"/>
              </w:rPr>
              <w:t>一、部门基本概况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ascii="楷体_GB2312" w:hAnsi="Times New Roman" w:eastAsia="楷体_GB2312" w:cs="宋体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宋体"/>
                <w:b/>
                <w:sz w:val="32"/>
                <w:szCs w:val="32"/>
              </w:rPr>
              <w:t>（一）职能职责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adjustRightInd/>
              <w:ind w:firstLine="640" w:firstLineChars="200"/>
              <w:jc w:val="both"/>
              <w:rPr>
                <w:rFonts w:ascii="宋体" w:hAnsi="Times New Roman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林业和草原及其生态保护修复的监督管理。组织指导林业和草原生态保护修复和造林绿化工作。负责森林、草原、湿地资源的监督管理。负责陆生野生动植物资源监督管理。负责监督管理各类自然保护地。负责推进林业和草原改革、行政执法相关工作。指导开展林业产业工作。组织林木种子、草种种质资源普查，组织建立种质资源库，负责良种选育推广，管理林木种苗、草种生产经营行为，监管林木种苗、草种质量。监督管理林业和草原生物种质资源、转基因生物安全、植物新品种保护。负责林业和草原防灾减灾工作。监督管理林业和草原资金使用和国有资产处置，提出林业和草原预算内投资、财政性资金安排建议，按规定权限，审核规划内和年度计划投资项目，指导监督林业和草原项目实施工作。负责林业和草原科技、教育和外事工作，指导全市林业人才队伍建设，组织指导林业和草原对外交流与合作事务。完成市委和市政府交办的其他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ascii="楷体_GB2312" w:hAnsi="Times New Roman" w:eastAsia="楷体_GB2312" w:cs="宋体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宋体"/>
                <w:b/>
                <w:sz w:val="32"/>
                <w:szCs w:val="32"/>
              </w:rPr>
              <w:t>（二）机构设置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adjustRightInd/>
              <w:ind w:firstLine="640" w:firstLineChars="20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市直林业部门包括岳阳市林业局本级和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个直属单位。</w:t>
            </w:r>
          </w:p>
          <w:p>
            <w:pPr>
              <w:adjustRightInd/>
              <w:ind w:firstLine="640" w:firstLineChars="20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市林业局内设行政科室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，分别为办公室、造林种苗科（市绿化委员会办公室）、森林资源管理科、野生动植物保护科、自然保护地管理科、政策法规和改革发展科、规划财务科、行政审批科、森林防火科、人事教育科、林长制工作科（行政执法科）、机关党委、机关纪委、离退休人员管理服务科。内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个事业单位，分别为市林业事务中心、市森林资源管理监测中心、市湿地保护中心、市风景名胜区管理中心。</w:t>
            </w:r>
          </w:p>
          <w:p>
            <w:pPr>
              <w:adjustRightInd/>
              <w:ind w:firstLine="640" w:firstLineChars="200"/>
              <w:jc w:val="both"/>
              <w:rPr>
                <w:rFonts w:ascii="宋体" w:hAnsi="Times New Roman" w:cs="宋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个直属单位为：湖南东洞庭湖国家级自然保护区管理局、岳阳市林业科学研究所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0" w:firstLineChars="200"/>
              <w:jc w:val="both"/>
              <w:textAlignment w:val="auto"/>
              <w:rPr>
                <w:rFonts w:hint="eastAsia" w:ascii="黑体" w:hAnsi="Times New Roman" w:eastAsia="黑体" w:cs="Dialog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Times New Roman" w:eastAsia="黑体" w:cs="Dialog"/>
                <w:sz w:val="32"/>
                <w:szCs w:val="32"/>
              </w:rPr>
              <w:t>二、部门预算构成</w:t>
            </w:r>
            <w:r>
              <w:rPr>
                <w:rFonts w:hint="eastAsia" w:ascii="黑体" w:hAnsi="Times New Roman" w:eastAsia="黑体" w:cs="Dialog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本部门预算为汇总预算，纳入编制范围的预算单位包括：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adjustRightInd/>
              <w:ind w:firstLine="640" w:firstLineChars="200"/>
              <w:jc w:val="both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、岳阳市林业局本级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adjustRightInd/>
              <w:ind w:firstLine="640" w:firstLineChars="200"/>
              <w:jc w:val="both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、湖南东洞庭湖国家级自然保护区管理局、岳阳市林业科学研究所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0" w:firstLineChars="200"/>
              <w:jc w:val="both"/>
              <w:textAlignment w:val="auto"/>
              <w:rPr>
                <w:rFonts w:ascii="黑体" w:hAnsi="Times New Roman" w:eastAsia="黑体" w:cs="Dialog"/>
                <w:sz w:val="32"/>
                <w:szCs w:val="32"/>
              </w:rPr>
            </w:pPr>
            <w:r>
              <w:rPr>
                <w:rFonts w:hint="eastAsia" w:ascii="黑体" w:hAnsi="Times New Roman" w:eastAsia="黑体" w:cs="Dialog"/>
                <w:sz w:val="32"/>
                <w:szCs w:val="32"/>
              </w:rPr>
              <w:t>三、部门收支总体情况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本部门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年没有政府性基金预算拨款、国有资本经营预算收入和纳入专户管理的非税收入拨款收入，也没有使用政府性基金预算拨款、国有资本经营预算收入和纳入专户管理的非税收入拨款安排的支出，所以公开的附件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15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、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16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、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17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、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18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、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19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表均为空。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ascii="楷体_GB2312" w:hAnsi="Times New Roman" w:eastAsia="楷体_GB2312" w:cs="Dialog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Dialog"/>
                <w:b/>
                <w:sz w:val="32"/>
                <w:szCs w:val="32"/>
              </w:rPr>
              <w:t>（一）收入预算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adjustRightInd/>
              <w:ind w:firstLine="640" w:firstLineChars="200"/>
              <w:jc w:val="both"/>
              <w:rPr>
                <w:rFonts w:hint="eastAsia"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包括一般公共预算、政府性基金、国有资本经营预算等财政拨款收入，以及经营收入、事业收入等单位资金。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年度年本部门收入预算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2822.19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万元，其中，一般公共预算拨款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2822.19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万元，政府性基金预算资金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0.00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(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所以公开的附件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17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为空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)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，国有资本经营预算资金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0.00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(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所以公开的附件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18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为空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)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，财政专户管理资金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0.00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(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所以公开的附件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19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为空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)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，上级补助收入资金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0.00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万元，事业单位经营收入资金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0.00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万元，上年结转结余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0.00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万元。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(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数据来源见表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2)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本部门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年收入较去年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增加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195.58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万元，主要是因为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一般公共预算拨款增加，增加了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医疗补助资金预算。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643" w:firstLineChars="200"/>
              <w:jc w:val="both"/>
              <w:textAlignment w:val="auto"/>
              <w:rPr>
                <w:rFonts w:hint="eastAsia" w:ascii="楷体_GB2312" w:hAnsi="Times New Roman" w:eastAsia="楷体_GB2312" w:cs="Dialog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Dialog"/>
                <w:b/>
                <w:sz w:val="32"/>
                <w:szCs w:val="32"/>
                <w:lang w:val="en-US" w:eastAsia="zh-CN"/>
              </w:rPr>
              <w:t>(二）</w:t>
            </w:r>
            <w:r>
              <w:rPr>
                <w:rFonts w:hint="eastAsia" w:ascii="楷体_GB2312" w:hAnsi="Times New Roman" w:eastAsia="楷体_GB2312" w:cs="Dialog"/>
                <w:b/>
                <w:sz w:val="32"/>
                <w:szCs w:val="32"/>
              </w:rPr>
              <w:t>支出预算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640" w:firstLineChars="200"/>
              <w:jc w:val="both"/>
              <w:textAlignment w:val="auto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ascii="仿宋_GB2312" w:hAnsi="Times New Roman" w:eastAsia="仿宋_GB2312" w:cs="宋体"/>
                <w:sz w:val="32"/>
                <w:szCs w:val="32"/>
              </w:rPr>
              <w:t>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年本部门支出预算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2822.19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万元，其中，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208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社会保障和就业支出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184.70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210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卫生健康支出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180.79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213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农林水支出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2279.18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221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住房保障支出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177.52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万元，支出较去年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增加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195.58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万元，主要是因为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本年预算增加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医疗补助资金。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0" w:firstLineChars="200"/>
              <w:jc w:val="both"/>
              <w:textAlignment w:val="auto"/>
              <w:rPr>
                <w:rFonts w:ascii="黑体" w:hAnsi="Times New Roman" w:eastAsia="黑体" w:cs="Dialog"/>
                <w:sz w:val="32"/>
                <w:szCs w:val="32"/>
              </w:rPr>
            </w:pPr>
            <w:r>
              <w:rPr>
                <w:rFonts w:hint="eastAsia" w:ascii="黑体" w:hAnsi="Times New Roman" w:eastAsia="黑体" w:cs="Dialog"/>
                <w:sz w:val="32"/>
                <w:szCs w:val="32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ascii="仿宋_GB2312" w:hAnsi="Times New Roman" w:eastAsia="仿宋_GB2312" w:cs="宋体"/>
                <w:sz w:val="32"/>
                <w:szCs w:val="32"/>
              </w:rPr>
              <w:t xml:space="preserve">  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年一般公共预算拨款支出预算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2822.19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万元，其中，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208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社会保障和就业支出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184.70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万元，占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6.54%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；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210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卫生健康支出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180.79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万元，占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6.41%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；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213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农林水支出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2279.18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万元，占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80.76%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；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221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住房保障支出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177.52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万元，占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6.29%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；具体安排情况如下：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3" w:firstLineChars="200"/>
              <w:jc w:val="both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宋体"/>
                <w:b/>
                <w:sz w:val="32"/>
                <w:szCs w:val="32"/>
              </w:rPr>
              <w:t>（一）基本支出：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年基本支出年初预算数为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2817.34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万元（数据来源见表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3" w:firstLineChars="200"/>
              <w:jc w:val="both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宋体"/>
                <w:b/>
                <w:sz w:val="32"/>
                <w:szCs w:val="32"/>
              </w:rPr>
              <w:t>（二）项目支出：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年项目支出年初预算数为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4.85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万元（数据来源见表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），是指部门为完成特定行政工作任务或事业发展目标而发生的支出，包括有关业务工作经费、运行维护经费、其他事业发展资金等。其中：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年办案费专项支出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0.25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万元，主要用于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办案费专项经费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方面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,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办案费专项支出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1.00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万元，主要用于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履行法律法规及规章赋予的林业和草原行政执法职能，依法办理涉林涉草相关案件，指导、协调本行政区域内行政执法行为等工作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方面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,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林业科研专项经费专项支出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3.60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万元，主要用于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林业科研支出等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方面。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0" w:firstLineChars="200"/>
              <w:jc w:val="both"/>
              <w:textAlignment w:val="auto"/>
              <w:rPr>
                <w:rFonts w:ascii="黑体" w:hAnsi="Times New Roman" w:eastAsia="黑体" w:cs="Dialog"/>
                <w:sz w:val="32"/>
                <w:szCs w:val="32"/>
              </w:rPr>
            </w:pPr>
            <w:r>
              <w:rPr>
                <w:rFonts w:hint="eastAsia" w:ascii="黑体" w:hAnsi="Times New Roman" w:eastAsia="黑体" w:cs="Dialog"/>
                <w:sz w:val="32"/>
                <w:szCs w:val="32"/>
              </w:rPr>
              <w:t>五、政府性基金预算支出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ascii="仿宋_GB2312" w:hAnsi="Times New Roman" w:eastAsia="仿宋_GB2312" w:cs="宋体"/>
                <w:sz w:val="32"/>
                <w:szCs w:val="32"/>
              </w:rPr>
              <w:t>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年度本部门无政府性基金安排的支出，所以公开的附件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15-17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（政府性基金预算）为空。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0" w:firstLineChars="200"/>
              <w:jc w:val="both"/>
              <w:textAlignment w:val="auto"/>
              <w:rPr>
                <w:rFonts w:ascii="黑体" w:hAnsi="Times New Roman" w:eastAsia="黑体" w:cs="Dialog"/>
                <w:sz w:val="32"/>
                <w:szCs w:val="32"/>
              </w:rPr>
            </w:pPr>
            <w:r>
              <w:rPr>
                <w:rFonts w:hint="eastAsia" w:ascii="黑体" w:hAnsi="Times New Roman" w:eastAsia="黑体" w:cs="Dialog"/>
                <w:sz w:val="32"/>
                <w:szCs w:val="32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ascii="楷体_GB2312" w:hAnsi="Times New Roman" w:eastAsia="楷体_GB2312" w:cs="Dialog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Dialog"/>
                <w:b/>
                <w:sz w:val="32"/>
                <w:szCs w:val="32"/>
              </w:rPr>
              <w:t>（一）机关运行经费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adjustRightInd/>
              <w:ind w:firstLine="640" w:firstLineChars="200"/>
              <w:jc w:val="both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本部门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年机关运行经费当年一般公共预算拨款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391.84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万元（数据来源见表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），比上一年增加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109.13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万元，增加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38.6%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。主要原因是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岳阳市林业局本级本年人员增加，机关运行经费增加，以及本年将工会经费补助列入机关运行经费等；湖南东洞庭湖国家级自然保护区管理局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年将工会经费补助款列入了机关运行经费及增加公车补贴等；岳阳市林业科学研究所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增加了工会经费补助。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ascii="楷体_GB2312" w:hAnsi="Times New Roman" w:eastAsia="楷体_GB2312" w:cs="Dialog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Dialog"/>
                <w:b/>
                <w:sz w:val="32"/>
                <w:szCs w:val="32"/>
              </w:rPr>
              <w:t>（二）“三公”经费预算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本部门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年“三公”经费预算数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64.65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万元（数据来源见表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），其中，公务接待费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38.59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万元，因公出国（境）费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0.00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万元，公务用车购置及运行费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26.06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万元（其中，公务用车购置费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0.00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万元，公务用车运行费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26.06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万元）。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年三公经费预算较上年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减少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34.14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万元，主要原因是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厉行节约以及岳阳市林业局本级本年减少了公务用车购置费预算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ascii="楷体_GB2312" w:hAnsi="Times New Roman" w:eastAsia="楷体_GB2312" w:cs="Dialog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Dialog"/>
                <w:b/>
                <w:sz w:val="32"/>
                <w:szCs w:val="32"/>
              </w:rPr>
              <w:t>（三）一般性支出情况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640" w:firstLineChars="20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本部门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年会议费预算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2.00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万元（数据来源见表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会议费、培训费），拟召开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4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次会议，人数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115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人，内容为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岳阳市林业局本级离退休同志春节座谈会，湖南东洞庭湖国家级自然保护区管理局意识形态、党风廉政、党建方面的会议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；培训费预算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1.70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万元，拟开展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4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次培训，人数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100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人，内容为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岳阳市林业局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本级培训集体林地承包经营纠纷调处工作，湖南东洞庭湖国家级自然保护区管理局科研监测、巡护管理、技能培训。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640" w:firstLineChars="200"/>
              <w:jc w:val="both"/>
              <w:textAlignment w:val="auto"/>
              <w:rPr>
                <w:rFonts w:ascii="宋体" w:hAnsi="Times New Roman" w:cs="宋体"/>
                <w:sz w:val="32"/>
                <w:szCs w:val="32"/>
              </w:rPr>
            </w:pPr>
            <w:r>
              <w:rPr>
                <w:rFonts w:ascii="仿宋_GB2312" w:hAnsi="Times New Roman" w:eastAsia="仿宋_GB2312" w:cs="宋体"/>
                <w:sz w:val="32"/>
                <w:szCs w:val="32"/>
              </w:rPr>
              <w:t>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年度本部门未计划举办节庆、晚会、论坛、赛事活动。（没有计划的注明“</w:t>
            </w:r>
            <w:r>
              <w:rPr>
                <w:rFonts w:ascii="仿宋_GB2312" w:hAnsi="Times New Roman" w:eastAsia="仿宋_GB2312" w:cs="宋体"/>
                <w:sz w:val="32"/>
                <w:szCs w:val="32"/>
              </w:rPr>
              <w:t>2023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年度本部门未计划安排会议、培训，未计划举办节庆、晚会、论坛、赛事活动。”）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ascii="楷体_GB2312" w:hAnsi="Times New Roman" w:eastAsia="楷体_GB2312" w:cs="Dialog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Dialog"/>
                <w:b/>
                <w:sz w:val="32"/>
                <w:szCs w:val="32"/>
              </w:rPr>
              <w:t>（四）政府采购情况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本部门2023年政府采购预算总额5451.95万元，其中工程类4647.88万元，货物类138.11万元，服务类665.96万元。（没有政府采购预算的也需要说明：2023年度本部门未安排政府采购预算。）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firstLine="643" w:firstLineChars="200"/>
              <w:jc w:val="both"/>
              <w:textAlignment w:val="auto"/>
            </w:pPr>
            <w:r>
              <w:rPr>
                <w:rFonts w:hint="eastAsia" w:ascii="楷体_GB2312" w:hAnsi="Times New Roman" w:eastAsia="楷体_GB2312" w:cs="Dialog"/>
                <w:b/>
                <w:color w:val="000000"/>
                <w:kern w:val="0"/>
                <w:sz w:val="32"/>
                <w:szCs w:val="32"/>
                <w:lang w:val="en-US" w:eastAsia="zh-CN" w:bidi="ar-SA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0" w:firstLineChars="200"/>
              <w:jc w:val="both"/>
              <w:textAlignment w:val="auto"/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截至上年底，本部门共有车辆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辆，其中领导干部用车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辆，一般公务用车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辆，其他用车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辆，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应急保障用车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辆、执法执勤用车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辆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。单位价值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万元以上通用设备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台，单位价值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万元以上专用设备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0" w:firstLineChars="200"/>
              <w:jc w:val="both"/>
              <w:textAlignment w:val="auto"/>
              <w:rPr>
                <w:rFonts w:hint="eastAsia" w:ascii="楷体_GB2312" w:hAnsi="Times New Roman" w:eastAsia="楷体_GB2312" w:cs="Dialog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年度本部门未计划处置或新增车辆、新增配备单位价值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万元以上通用设备和单位价值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万元以上专用设备等。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（没有处置或新增计划的也需说明“</w:t>
            </w:r>
            <w:r>
              <w:rPr>
                <w:rFonts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Times New Roman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年度本部门未计划处置或新增车辆、设备等。”）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ascii="楷体_GB2312" w:hAnsi="Times New Roman" w:eastAsia="楷体_GB2312" w:cs="Dialog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Dialog"/>
                <w:b/>
                <w:sz w:val="32"/>
                <w:szCs w:val="32"/>
              </w:rPr>
              <w:t>（六）预算绩效目标说明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640" w:firstLineChars="200"/>
              <w:jc w:val="both"/>
              <w:textAlignment w:val="auto"/>
              <w:rPr>
                <w:rFonts w:ascii="楷体_GB2312" w:hAnsi="Times New Roman" w:eastAsia="楷体_GB2312" w:cs="宋体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宋体"/>
                <w:sz w:val="32"/>
                <w:szCs w:val="32"/>
              </w:rPr>
              <w:t>本部门所有支出实行绩效目标管理。纳入</w:t>
            </w:r>
            <w:r>
              <w:rPr>
                <w:rFonts w:ascii="楷体_GB2312" w:hAnsi="Times New Roman" w:eastAsia="楷体_GB2312" w:cs="宋体"/>
                <w:sz w:val="32"/>
                <w:szCs w:val="32"/>
              </w:rPr>
              <w:t>2023</w:t>
            </w:r>
            <w:r>
              <w:rPr>
                <w:rFonts w:hint="eastAsia" w:ascii="楷体_GB2312" w:hAnsi="Times New Roman" w:eastAsia="楷体_GB2312" w:cs="宋体"/>
                <w:sz w:val="32"/>
                <w:szCs w:val="32"/>
              </w:rPr>
              <w:t>年部门整体支出绩效目标的金额为</w:t>
            </w:r>
            <w:r>
              <w:rPr>
                <w:rFonts w:ascii="楷体_GB2312" w:hAnsi="Times New Roman" w:eastAsia="楷体_GB2312" w:cs="宋体"/>
                <w:sz w:val="32"/>
                <w:szCs w:val="32"/>
              </w:rPr>
              <w:t>2822.19</w:t>
            </w:r>
            <w:r>
              <w:rPr>
                <w:rFonts w:hint="eastAsia" w:ascii="楷体_GB2312" w:hAnsi="Times New Roman" w:eastAsia="楷体_GB2312" w:cs="宋体"/>
                <w:sz w:val="32"/>
                <w:szCs w:val="32"/>
              </w:rPr>
              <w:t>万元，其中，基本支出</w:t>
            </w:r>
            <w:r>
              <w:rPr>
                <w:rFonts w:ascii="楷体_GB2312" w:hAnsi="Times New Roman" w:eastAsia="楷体_GB2312" w:cs="宋体"/>
                <w:sz w:val="32"/>
                <w:szCs w:val="32"/>
              </w:rPr>
              <w:t>2817.34</w:t>
            </w:r>
            <w:r>
              <w:rPr>
                <w:rFonts w:hint="eastAsia" w:ascii="楷体_GB2312" w:hAnsi="Times New Roman" w:eastAsia="楷体_GB2312" w:cs="宋体"/>
                <w:sz w:val="32"/>
                <w:szCs w:val="32"/>
              </w:rPr>
              <w:t>万元，项目支出</w:t>
            </w:r>
            <w:r>
              <w:rPr>
                <w:rFonts w:ascii="楷体_GB2312" w:hAnsi="Times New Roman" w:eastAsia="楷体_GB2312" w:cs="宋体"/>
                <w:sz w:val="32"/>
                <w:szCs w:val="32"/>
              </w:rPr>
              <w:t>4.85</w:t>
            </w:r>
            <w:r>
              <w:rPr>
                <w:rFonts w:hint="eastAsia" w:ascii="楷体_GB2312" w:hAnsi="Times New Roman" w:eastAsia="楷体_GB2312" w:cs="宋体"/>
                <w:sz w:val="32"/>
                <w:szCs w:val="32"/>
              </w:rPr>
              <w:t>万元，详见文尾附表中部门预算公开表格的表</w:t>
            </w:r>
            <w:r>
              <w:rPr>
                <w:rFonts w:ascii="楷体_GB2312" w:hAnsi="Times New Roman" w:eastAsia="楷体_GB2312" w:cs="宋体"/>
                <w:sz w:val="32"/>
                <w:szCs w:val="32"/>
              </w:rPr>
              <w:t>21-22</w:t>
            </w:r>
            <w:r>
              <w:rPr>
                <w:rFonts w:hint="eastAsia" w:ascii="楷体_GB2312" w:hAnsi="Times New Roman" w:eastAsia="楷体_GB2312" w:cs="宋体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firstLine="640" w:firstLineChars="200"/>
              <w:jc w:val="both"/>
              <w:textAlignment w:val="auto"/>
              <w:rPr>
                <w:rFonts w:ascii="黑体" w:hAnsi="Times New Roman" w:eastAsia="黑体" w:cs="Dialog"/>
                <w:sz w:val="32"/>
                <w:szCs w:val="32"/>
              </w:rPr>
            </w:pPr>
            <w:r>
              <w:rPr>
                <w:rFonts w:hint="eastAsia" w:ascii="黑体" w:hAnsi="Times New Roman" w:eastAsia="黑体" w:cs="Dialog"/>
                <w:sz w:val="32"/>
                <w:szCs w:val="32"/>
              </w:rPr>
              <w:t>七、名词解释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ascii="仿宋_GB2312" w:hAnsi="Times New Roman" w:eastAsia="仿宋_GB2312" w:cs="宋体"/>
                <w:sz w:val="32"/>
                <w:szCs w:val="32"/>
              </w:rPr>
              <w:t xml:space="preserve">  1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ascii="仿宋_GB2312" w:hAnsi="Times New Roman" w:eastAsia="仿宋_GB2312" w:cs="宋体"/>
                <w:sz w:val="32"/>
                <w:szCs w:val="32"/>
              </w:rPr>
              <w:t xml:space="preserve">  2</w:t>
            </w: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、“三公”经费：纳入财政预算管理的“三公“经费，是指用一般公共预算拨款安排的公务接待费、公务用车购置及运行维护费和因公出国（境）费。其中，公务接待费反映部门按规定开支的各类公务接待支出；公务用车购置及运行费反映部门公务用车车辆购置支出（含车辆购置税），以及燃料费、维修费、保险费等支出；因公出国（境）费反映部门公务出国（境）的国际旅费、国外城市间交通费、食宿费等支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0" w:firstLineChars="200"/>
              <w:jc w:val="both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firstLine="480" w:firstLineChars="20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0" w:firstLineChars="20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第二部分  2023年部门预算公开表格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1、收支总表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2、收入总表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3、支出总表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4、支出预算分类汇总表（按政府预算经济分类）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5、支出预算分类汇总表（按部门预算经济分类）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6、财政拨款收支总表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7、一般公共预算支出表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8、一般公共预算基本支出表-人员经费（工资福利支出）（按政府预算经济分类）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9、一般公共预算基本支出表-人员经费（工资福利支出）（按部门预算经济分类）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10、一般公共预算基本支出表-人员经费（对个人和家庭的补助）（按政府预算经济分类）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11、一般公共预算基本支出表-人员经费（对个人和家庭的补助）（按部门预算经济分类）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12、一般公共预算基本支出表-公用经费（商品和服务支出）（按政府预算经济分类）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13、一般公共预算基本支出表-公用经费（商品和服务支出）（按部门预算经济分类）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14、一般公共预算“三公”经费支出表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15、政府性基金预算支出表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16、政府性基金预算支出分类汇总表（按政府预算经济分类）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17、政府性基金预算支出分类汇总表（按部门预算经济分类）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18、国有资本经营预算支出表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19、财政专户管理资金预算支出表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20、专项资金预算汇总表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21、项目支出绩效目标表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22、部门整体支出绩效目标表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23、一般公共预算基本支出表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ind w:firstLine="643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注：以上部门预算公开报表中，空表表示本部门无相关收支情况。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8708" w:h="15840"/>
      <w:pgMar w:top="388" w:right="1080" w:bottom="388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ialog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IyNTM2ZTNkYzRlNjQxMDkzYmY3OWJhZDY3ZTJkMWYifQ=="/>
  </w:docVars>
  <w:rsids>
    <w:rsidRoot w:val="000A0F96"/>
    <w:rsid w:val="000204BF"/>
    <w:rsid w:val="00064002"/>
    <w:rsid w:val="000A0F96"/>
    <w:rsid w:val="000F34F5"/>
    <w:rsid w:val="00121B8B"/>
    <w:rsid w:val="00170BF2"/>
    <w:rsid w:val="001B36BB"/>
    <w:rsid w:val="0023374A"/>
    <w:rsid w:val="00266401"/>
    <w:rsid w:val="002774A0"/>
    <w:rsid w:val="00296B15"/>
    <w:rsid w:val="002B6848"/>
    <w:rsid w:val="00306698"/>
    <w:rsid w:val="00332C97"/>
    <w:rsid w:val="003441E3"/>
    <w:rsid w:val="00346C38"/>
    <w:rsid w:val="00367A38"/>
    <w:rsid w:val="0038217E"/>
    <w:rsid w:val="003A6F8A"/>
    <w:rsid w:val="00421069"/>
    <w:rsid w:val="00435DFA"/>
    <w:rsid w:val="005654BE"/>
    <w:rsid w:val="00577495"/>
    <w:rsid w:val="005A24B1"/>
    <w:rsid w:val="005C7E6D"/>
    <w:rsid w:val="006C1685"/>
    <w:rsid w:val="007719BB"/>
    <w:rsid w:val="007B655F"/>
    <w:rsid w:val="007C341D"/>
    <w:rsid w:val="008A44D4"/>
    <w:rsid w:val="00905D3F"/>
    <w:rsid w:val="0098431E"/>
    <w:rsid w:val="009A7605"/>
    <w:rsid w:val="00A26F98"/>
    <w:rsid w:val="00A517AD"/>
    <w:rsid w:val="00A8243B"/>
    <w:rsid w:val="00A83DF3"/>
    <w:rsid w:val="00AA703E"/>
    <w:rsid w:val="00AB2940"/>
    <w:rsid w:val="00B22BD6"/>
    <w:rsid w:val="00B825D8"/>
    <w:rsid w:val="00C54CFA"/>
    <w:rsid w:val="00C54DED"/>
    <w:rsid w:val="00D60725"/>
    <w:rsid w:val="00DA5893"/>
    <w:rsid w:val="00E0058D"/>
    <w:rsid w:val="00E876F3"/>
    <w:rsid w:val="00F77543"/>
    <w:rsid w:val="017815E6"/>
    <w:rsid w:val="02296E92"/>
    <w:rsid w:val="022D4557"/>
    <w:rsid w:val="027D2D3A"/>
    <w:rsid w:val="05654685"/>
    <w:rsid w:val="0B610D74"/>
    <w:rsid w:val="0E87566C"/>
    <w:rsid w:val="138B65C8"/>
    <w:rsid w:val="15A22D8C"/>
    <w:rsid w:val="16502059"/>
    <w:rsid w:val="190478B9"/>
    <w:rsid w:val="19E5593D"/>
    <w:rsid w:val="1BAD5FE6"/>
    <w:rsid w:val="1BBB4BA7"/>
    <w:rsid w:val="1DDE2DCF"/>
    <w:rsid w:val="24155071"/>
    <w:rsid w:val="256242E5"/>
    <w:rsid w:val="262B46D7"/>
    <w:rsid w:val="287E4F92"/>
    <w:rsid w:val="29695C42"/>
    <w:rsid w:val="29CC61D1"/>
    <w:rsid w:val="2A2A6419"/>
    <w:rsid w:val="2E115F03"/>
    <w:rsid w:val="2FED0C50"/>
    <w:rsid w:val="30C65728"/>
    <w:rsid w:val="312100DD"/>
    <w:rsid w:val="3166515D"/>
    <w:rsid w:val="332C1A8F"/>
    <w:rsid w:val="36A209E6"/>
    <w:rsid w:val="39697599"/>
    <w:rsid w:val="39D72754"/>
    <w:rsid w:val="3BA945C4"/>
    <w:rsid w:val="3C900121"/>
    <w:rsid w:val="3CC55AFB"/>
    <w:rsid w:val="3D840E45"/>
    <w:rsid w:val="3E6301F3"/>
    <w:rsid w:val="40C1415E"/>
    <w:rsid w:val="41A73354"/>
    <w:rsid w:val="42786A9F"/>
    <w:rsid w:val="441E360C"/>
    <w:rsid w:val="44527C37"/>
    <w:rsid w:val="44DF1057"/>
    <w:rsid w:val="4732546E"/>
    <w:rsid w:val="48082673"/>
    <w:rsid w:val="4B9506C1"/>
    <w:rsid w:val="4BEB211D"/>
    <w:rsid w:val="4BFB49C8"/>
    <w:rsid w:val="4D297313"/>
    <w:rsid w:val="4E451F2B"/>
    <w:rsid w:val="4F9071D6"/>
    <w:rsid w:val="4F92661E"/>
    <w:rsid w:val="50483F54"/>
    <w:rsid w:val="514B4AA0"/>
    <w:rsid w:val="51870AAC"/>
    <w:rsid w:val="5272350A"/>
    <w:rsid w:val="53397B84"/>
    <w:rsid w:val="53536E98"/>
    <w:rsid w:val="569B7468"/>
    <w:rsid w:val="597414E9"/>
    <w:rsid w:val="5C272836"/>
    <w:rsid w:val="5CA644DC"/>
    <w:rsid w:val="5EB86749"/>
    <w:rsid w:val="5F334021"/>
    <w:rsid w:val="5F385194"/>
    <w:rsid w:val="63F35B2D"/>
    <w:rsid w:val="67CA446A"/>
    <w:rsid w:val="68330D9E"/>
    <w:rsid w:val="683A3A89"/>
    <w:rsid w:val="6A3F7D1E"/>
    <w:rsid w:val="6ADB7A47"/>
    <w:rsid w:val="6CEB1A97"/>
    <w:rsid w:val="6D0B213A"/>
    <w:rsid w:val="6D1E00BF"/>
    <w:rsid w:val="6E3B25AB"/>
    <w:rsid w:val="6F122880"/>
    <w:rsid w:val="70BF74C3"/>
    <w:rsid w:val="76F65C09"/>
    <w:rsid w:val="79D20267"/>
    <w:rsid w:val="7BBA0FB3"/>
    <w:rsid w:val="7C9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99"/>
    <w:pPr>
      <w:outlineLvl w:val="0"/>
    </w:pPr>
    <w:rPr>
      <w:b/>
      <w:bCs/>
      <w:sz w:val="32"/>
      <w:szCs w:val="32"/>
    </w:rPr>
  </w:style>
  <w:style w:type="paragraph" w:styleId="4">
    <w:name w:val="heading 2"/>
    <w:basedOn w:val="1"/>
    <w:next w:val="1"/>
    <w:link w:val="9"/>
    <w:qFormat/>
    <w:uiPriority w:val="99"/>
    <w:pPr>
      <w:outlineLvl w:val="1"/>
    </w:pPr>
    <w:rPr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10"/>
    <w:qFormat/>
    <w:uiPriority w:val="99"/>
    <w:pPr>
      <w:outlineLvl w:val="2"/>
    </w:pPr>
    <w:rPr>
      <w:b/>
      <w:bCs/>
      <w:sz w:val="26"/>
      <w:szCs w:val="2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</w:style>
  <w:style w:type="character" w:customStyle="1" w:styleId="8">
    <w:name w:val="Heading 1 Char"/>
    <w:basedOn w:val="7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Heading 2 Char"/>
    <w:basedOn w:val="7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Heading 3 Char"/>
    <w:basedOn w:val="7"/>
    <w:link w:val="5"/>
    <w:semiHidden/>
    <w:qFormat/>
    <w:locked/>
    <w:uiPriority w:val="99"/>
    <w:rPr>
      <w:rFonts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4008</Words>
  <Characters>4375</Characters>
  <Lines>0</Lines>
  <Paragraphs>0</Paragraphs>
  <TotalTime>9</TotalTime>
  <ScaleCrop>false</ScaleCrop>
  <LinksUpToDate>false</LinksUpToDate>
  <CharactersWithSpaces>4394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2024-03-20T06:10:00Z</dcterms:created>
  <dc:creator>Administrator</dc:creator>
  <cp:lastModifiedBy>易洪宇</cp:lastModifiedBy>
  <dcterms:modified xsi:type="dcterms:W3CDTF">2024-03-25T08:50:24Z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C17CB227854E494E96EACD0882F7097A_12</vt:lpwstr>
  </property>
</Properties>
</file>