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48" w:lineRule="auto"/>
        <w:rPr>
          <w:rFonts w:ascii="黑体" w:hAnsi="黑体" w:eastAsia="黑体" w:cs="黑体"/>
          <w:bCs/>
          <w:sz w:val="32"/>
          <w:szCs w:val="32"/>
        </w:rPr>
      </w:pPr>
    </w:p>
    <w:p>
      <w:pPr>
        <w:spacing w:line="348" w:lineRule="auto"/>
        <w:jc w:val="center"/>
        <w:rPr>
          <w:rFonts w:eastAsia="方正小标宋简体"/>
          <w:bCs/>
          <w:sz w:val="42"/>
          <w:szCs w:val="42"/>
        </w:rPr>
      </w:pPr>
    </w:p>
    <w:p>
      <w:pPr>
        <w:spacing w:line="800" w:lineRule="exact"/>
        <w:jc w:val="center"/>
        <w:rPr>
          <w:rFonts w:eastAsia="方正小标宋简体"/>
          <w:bCs/>
          <w:sz w:val="46"/>
          <w:szCs w:val="46"/>
        </w:rPr>
      </w:pPr>
      <w:r>
        <w:rPr>
          <w:rFonts w:hint="eastAsia" w:eastAsia="方正小标宋简体"/>
          <w:bCs/>
          <w:sz w:val="46"/>
          <w:szCs w:val="46"/>
        </w:rPr>
        <w:t>岳阳市2020年度部门整体支出</w:t>
      </w:r>
    </w:p>
    <w:p>
      <w:pPr>
        <w:spacing w:line="800" w:lineRule="exact"/>
        <w:jc w:val="center"/>
        <w:rPr>
          <w:rFonts w:eastAsia="方正小标宋简体"/>
          <w:bCs/>
          <w:sz w:val="46"/>
          <w:szCs w:val="46"/>
        </w:rPr>
      </w:pPr>
      <w:r>
        <w:rPr>
          <w:rFonts w:hint="eastAsia" w:eastAsia="方正小标宋简体"/>
          <w:bCs/>
          <w:sz w:val="46"/>
          <w:szCs w:val="46"/>
        </w:rPr>
        <w:t>绩效评价自评报告</w:t>
      </w:r>
    </w:p>
    <w:p>
      <w:pPr>
        <w:rPr>
          <w:rFonts w:eastAsia="仿宋_GB2312"/>
          <w:b/>
          <w:sz w:val="32"/>
        </w:rPr>
      </w:pPr>
    </w:p>
    <w:p>
      <w:pPr>
        <w:rPr>
          <w:rFonts w:eastAsia="仿宋_GB2312"/>
          <w:b/>
          <w:sz w:val="32"/>
        </w:rPr>
      </w:pPr>
    </w:p>
    <w:p>
      <w:pPr>
        <w:rPr>
          <w:rFonts w:eastAsia="仿宋_GB2312"/>
          <w:b/>
          <w:sz w:val="32"/>
        </w:rPr>
      </w:pPr>
    </w:p>
    <w:p>
      <w:pPr>
        <w:spacing w:beforeLines="50" w:line="348" w:lineRule="auto"/>
        <w:ind w:firstLine="480" w:firstLineChars="150"/>
        <w:rPr>
          <w:rFonts w:eastAsia="仿宋_GB2312"/>
          <w:sz w:val="32"/>
          <w:szCs w:val="32"/>
          <w:u w:val="single"/>
        </w:rPr>
      </w:pPr>
      <w:r>
        <w:rPr>
          <w:rFonts w:hint="eastAsia" w:eastAsia="仿宋_GB2312"/>
          <w:sz w:val="32"/>
          <w:szCs w:val="32"/>
        </w:rPr>
        <w:t>部门(单位)名称：</w:t>
      </w:r>
      <w:r>
        <w:rPr>
          <w:rFonts w:hint="eastAsia" w:eastAsia="仿宋_GB2312"/>
          <w:sz w:val="32"/>
          <w:szCs w:val="32"/>
          <w:u w:val="single"/>
        </w:rPr>
        <w:t xml:space="preserve">         </w:t>
      </w:r>
      <w:r>
        <w:rPr>
          <w:rFonts w:hint="eastAsia" w:eastAsia="仿宋_GB2312"/>
          <w:sz w:val="32"/>
          <w:szCs w:val="32"/>
          <w:u w:val="single"/>
          <w:lang w:eastAsia="zh-CN"/>
        </w:rPr>
        <w:t>岳阳市森林公安局</w:t>
      </w:r>
      <w:r>
        <w:rPr>
          <w:rFonts w:hint="eastAsia" w:eastAsia="仿宋_GB2312"/>
          <w:sz w:val="32"/>
          <w:szCs w:val="32"/>
          <w:u w:val="single"/>
        </w:rPr>
        <w:t xml:space="preserve">                     </w:t>
      </w:r>
    </w:p>
    <w:p>
      <w:pPr>
        <w:spacing w:beforeLines="50" w:line="348" w:lineRule="auto"/>
        <w:ind w:firstLine="480" w:firstLineChars="150"/>
        <w:rPr>
          <w:rFonts w:eastAsia="仿宋_GB2312"/>
          <w:spacing w:val="20"/>
          <w:sz w:val="32"/>
          <w:szCs w:val="32"/>
        </w:rPr>
      </w:pPr>
      <w:r>
        <w:rPr>
          <w:rFonts w:hint="eastAsia" w:eastAsia="仿宋_GB2312"/>
          <w:sz w:val="32"/>
          <w:szCs w:val="32"/>
        </w:rPr>
        <w:t>预</w:t>
      </w:r>
      <w:r>
        <w:rPr>
          <w:rFonts w:hint="eastAsia" w:eastAsia="仿宋_GB2312"/>
          <w:spacing w:val="30"/>
          <w:sz w:val="32"/>
          <w:szCs w:val="32"/>
        </w:rPr>
        <w:t xml:space="preserve"> 算 编 码：</w:t>
      </w:r>
      <w:r>
        <w:rPr>
          <w:rFonts w:hint="eastAsia" w:eastAsia="仿宋_GB2312"/>
          <w:spacing w:val="20"/>
          <w:sz w:val="32"/>
          <w:szCs w:val="32"/>
          <w:u w:val="single"/>
        </w:rPr>
        <w:t xml:space="preserve">          </w:t>
      </w:r>
      <w:r>
        <w:rPr>
          <w:rFonts w:hint="eastAsia" w:eastAsia="仿宋_GB2312"/>
          <w:spacing w:val="20"/>
          <w:sz w:val="32"/>
          <w:szCs w:val="32"/>
          <w:u w:val="single"/>
          <w:lang w:val="en-US" w:eastAsia="zh-CN"/>
        </w:rPr>
        <w:t>25001</w:t>
      </w:r>
      <w:r>
        <w:rPr>
          <w:rFonts w:hint="eastAsia" w:eastAsia="仿宋_GB2312"/>
          <w:spacing w:val="20"/>
          <w:sz w:val="32"/>
          <w:szCs w:val="32"/>
          <w:u w:val="single"/>
        </w:rPr>
        <w:t xml:space="preserve">                  </w:t>
      </w:r>
    </w:p>
    <w:p>
      <w:pPr>
        <w:spacing w:beforeLines="50" w:line="348" w:lineRule="auto"/>
        <w:ind w:firstLine="480" w:firstLineChars="150"/>
        <w:rPr>
          <w:rFonts w:eastAsia="仿宋_GB2312"/>
          <w:sz w:val="32"/>
          <w:szCs w:val="32"/>
        </w:rPr>
      </w:pPr>
      <w:r>
        <w:rPr>
          <w:rFonts w:hint="eastAsia" w:eastAsia="仿宋_GB2312"/>
          <w:sz w:val="32"/>
          <w:szCs w:val="32"/>
        </w:rPr>
        <w:t>评价方式：部门（单位）绩效自评</w:t>
      </w:r>
    </w:p>
    <w:p>
      <w:pPr>
        <w:spacing w:beforeLines="50" w:line="348" w:lineRule="auto"/>
        <w:ind w:firstLine="480" w:firstLineChars="150"/>
        <w:rPr>
          <w:rFonts w:eastAsia="仿宋_GB2312"/>
          <w:sz w:val="32"/>
          <w:szCs w:val="32"/>
        </w:rPr>
      </w:pPr>
      <w:r>
        <w:rPr>
          <w:rFonts w:hint="eastAsia" w:eastAsia="仿宋_GB2312"/>
          <w:sz w:val="32"/>
          <w:szCs w:val="32"/>
        </w:rPr>
        <w:t xml:space="preserve">评价机构：部门（单位）评价组   </w:t>
      </w:r>
    </w:p>
    <w:p>
      <w:pPr>
        <w:spacing w:line="720" w:lineRule="exact"/>
        <w:ind w:firstLine="2208" w:firstLineChars="690"/>
        <w:rPr>
          <w:rFonts w:eastAsia="仿宋_GB2312"/>
          <w:sz w:val="32"/>
        </w:rPr>
      </w:pPr>
    </w:p>
    <w:p>
      <w:pPr>
        <w:spacing w:line="720" w:lineRule="exact"/>
        <w:ind w:firstLine="2208" w:firstLineChars="690"/>
        <w:rPr>
          <w:rFonts w:eastAsia="仿宋_GB2312"/>
          <w:sz w:val="32"/>
        </w:rPr>
      </w:pPr>
    </w:p>
    <w:p>
      <w:pPr>
        <w:spacing w:line="720" w:lineRule="exact"/>
        <w:ind w:firstLine="2208" w:firstLineChars="690"/>
        <w:rPr>
          <w:rFonts w:eastAsia="仿宋_GB2312"/>
          <w:sz w:val="32"/>
        </w:rPr>
      </w:pPr>
    </w:p>
    <w:p>
      <w:pPr>
        <w:spacing w:line="348" w:lineRule="auto"/>
        <w:jc w:val="center"/>
        <w:rPr>
          <w:rFonts w:eastAsia="仿宋_GB2312"/>
          <w:sz w:val="32"/>
        </w:rPr>
      </w:pPr>
      <w:r>
        <w:rPr>
          <w:rFonts w:hint="eastAsia" w:eastAsia="仿宋_GB2312"/>
          <w:sz w:val="32"/>
        </w:rPr>
        <w:t>报告日期</w:t>
      </w:r>
      <w:r>
        <w:rPr>
          <w:rFonts w:hint="eastAsia" w:eastAsia="仿宋_GB2312"/>
          <w:sz w:val="32"/>
          <w:lang w:eastAsia="zh-CN"/>
        </w:rPr>
        <w:t>：</w:t>
      </w:r>
      <w:r>
        <w:rPr>
          <w:rFonts w:hint="eastAsia" w:eastAsia="仿宋_GB2312"/>
          <w:sz w:val="32"/>
          <w:lang w:val="en-US" w:eastAsia="zh-CN"/>
        </w:rPr>
        <w:t>2021</w:t>
      </w:r>
      <w:r>
        <w:rPr>
          <w:rFonts w:hint="eastAsia" w:eastAsia="仿宋_GB2312"/>
          <w:sz w:val="32"/>
        </w:rPr>
        <w:t>年</w:t>
      </w:r>
      <w:r>
        <w:rPr>
          <w:rFonts w:hint="eastAsia" w:eastAsia="仿宋_GB2312"/>
          <w:sz w:val="32"/>
          <w:lang w:val="en-US" w:eastAsia="zh-CN"/>
        </w:rPr>
        <w:t>6</w:t>
      </w:r>
      <w:r>
        <w:rPr>
          <w:rFonts w:hint="eastAsia" w:eastAsia="仿宋_GB2312"/>
          <w:sz w:val="32"/>
        </w:rPr>
        <w:t>月</w:t>
      </w:r>
      <w:r>
        <w:rPr>
          <w:rFonts w:hint="eastAsia" w:eastAsia="仿宋_GB2312"/>
          <w:sz w:val="32"/>
          <w:lang w:val="en-US" w:eastAsia="zh-CN"/>
        </w:rPr>
        <w:t>10</w:t>
      </w:r>
      <w:r>
        <w:rPr>
          <w:rFonts w:hint="eastAsia" w:eastAsia="仿宋_GB2312"/>
          <w:sz w:val="32"/>
        </w:rPr>
        <w:t>日</w:t>
      </w:r>
    </w:p>
    <w:p>
      <w:pPr>
        <w:jc w:val="center"/>
        <w:rPr>
          <w:rFonts w:hint="eastAsia" w:eastAsia="仿宋_GB2312"/>
          <w:sz w:val="32"/>
          <w:szCs w:val="32"/>
        </w:rPr>
      </w:pPr>
      <w:r>
        <w:rPr>
          <w:rFonts w:hint="eastAsia" w:eastAsia="仿宋_GB2312"/>
          <w:sz w:val="32"/>
        </w:rPr>
        <w:t>岳阳市财政</w:t>
      </w:r>
      <w:r>
        <w:rPr>
          <w:rFonts w:hint="eastAsia" w:eastAsia="仿宋_GB2312"/>
          <w:sz w:val="32"/>
          <w:szCs w:val="32"/>
        </w:rPr>
        <w:t>局（制）</w:t>
      </w:r>
    </w:p>
    <w:p>
      <w:pPr>
        <w:jc w:val="center"/>
        <w:rPr>
          <w:rFonts w:hint="eastAsia" w:eastAsia="仿宋_GB2312"/>
          <w:sz w:val="32"/>
          <w:szCs w:val="32"/>
        </w:rPr>
      </w:pPr>
    </w:p>
    <w:p>
      <w:pPr>
        <w:jc w:val="center"/>
        <w:rPr>
          <w:rFonts w:hint="eastAsia" w:eastAsia="仿宋_GB2312"/>
          <w:sz w:val="32"/>
          <w:szCs w:val="32"/>
        </w:rPr>
      </w:pPr>
    </w:p>
    <w:p>
      <w:pPr>
        <w:jc w:val="center"/>
        <w:rPr>
          <w:rFonts w:hint="eastAsia" w:eastAsia="仿宋_GB2312"/>
          <w:sz w:val="32"/>
          <w:szCs w:val="32"/>
        </w:rPr>
      </w:pPr>
    </w:p>
    <w:p>
      <w:pPr>
        <w:jc w:val="center"/>
        <w:rPr>
          <w:rFonts w:hint="eastAsia" w:eastAsia="仿宋_GB2312"/>
          <w:sz w:val="32"/>
          <w:szCs w:val="32"/>
        </w:rPr>
      </w:pPr>
    </w:p>
    <w:tbl>
      <w:tblPr>
        <w:tblStyle w:val="4"/>
        <w:tblW w:w="980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
      <w:tblGrid>
        <w:gridCol w:w="1441"/>
        <w:gridCol w:w="213"/>
        <w:gridCol w:w="46"/>
        <w:gridCol w:w="1080"/>
        <w:gridCol w:w="210"/>
        <w:gridCol w:w="1145"/>
        <w:gridCol w:w="272"/>
        <w:gridCol w:w="808"/>
        <w:gridCol w:w="1479"/>
        <w:gridCol w:w="179"/>
        <w:gridCol w:w="47"/>
        <w:gridCol w:w="196"/>
        <w:gridCol w:w="259"/>
        <w:gridCol w:w="578"/>
        <w:gridCol w:w="767"/>
        <w:gridCol w:w="163"/>
        <w:gridCol w:w="195"/>
        <w:gridCol w:w="72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8"/>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一、部门（单位）基本概况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联系人</w:t>
            </w:r>
          </w:p>
        </w:tc>
        <w:tc>
          <w:tcPr>
            <w:tcW w:w="3561" w:type="dxa"/>
            <w:gridSpan w:val="6"/>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徐海湘</w:t>
            </w:r>
          </w:p>
        </w:tc>
        <w:tc>
          <w:tcPr>
            <w:tcW w:w="1479"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联络电话</w:t>
            </w:r>
          </w:p>
        </w:tc>
        <w:tc>
          <w:tcPr>
            <w:tcW w:w="3106" w:type="dxa"/>
            <w:gridSpan w:val="9"/>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8859110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人员编制</w:t>
            </w:r>
          </w:p>
        </w:tc>
        <w:tc>
          <w:tcPr>
            <w:tcW w:w="3561" w:type="dxa"/>
            <w:gridSpan w:val="6"/>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34</w:t>
            </w:r>
          </w:p>
        </w:tc>
        <w:tc>
          <w:tcPr>
            <w:tcW w:w="1479"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实有人数</w:t>
            </w:r>
          </w:p>
        </w:tc>
        <w:tc>
          <w:tcPr>
            <w:tcW w:w="3106" w:type="dxa"/>
            <w:gridSpan w:val="9"/>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41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500"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职能职责概述</w:t>
            </w:r>
          </w:p>
        </w:tc>
        <w:tc>
          <w:tcPr>
            <w:tcW w:w="8146" w:type="dxa"/>
            <w:gridSpan w:val="16"/>
            <w:vAlign w:val="center"/>
          </w:tcPr>
          <w:p>
            <w:pPr>
              <w:autoSpaceDN w:val="0"/>
              <w:spacing w:line="320" w:lineRule="exact"/>
              <w:jc w:val="center"/>
              <w:textAlignment w:val="center"/>
              <w:rPr>
                <w:rFonts w:ascii="仿宋_GB2312" w:hAnsi="仿宋_GB2312" w:eastAsia="仿宋_GB2312" w:cs="仿宋_GB2312"/>
                <w:color w:val="000000"/>
                <w:sz w:val="24"/>
              </w:rPr>
            </w:pPr>
            <w:r>
              <w:rPr>
                <w:rFonts w:hAnsi="仿宋" w:eastAsia="仿宋"/>
                <w:color w:val="000000"/>
                <w:sz w:val="24"/>
                <w:szCs w:val="24"/>
              </w:rPr>
              <w:t>森林公安是国家林业部门和公安机关的重要组成部分，是具有武装性质的兼有刑事执法和行政执法职能的专门保护森林及野生动植物资源、保护生态安全、维护林区社会治安秩序的重要力量。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464"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年度主要</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工作内容</w:t>
            </w:r>
          </w:p>
        </w:tc>
        <w:tc>
          <w:tcPr>
            <w:tcW w:w="8146" w:type="dxa"/>
            <w:gridSpan w:val="16"/>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任务1：</w:t>
            </w:r>
            <w:r>
              <w:rPr>
                <w:rFonts w:hint="eastAsia" w:ascii="仿宋_GB2312" w:hAnsi="仿宋_GB2312" w:eastAsia="仿宋_GB2312" w:cs="仿宋_GB2312"/>
                <w:color w:val="auto"/>
                <w:sz w:val="24"/>
                <w:lang w:eastAsia="zh-CN"/>
              </w:rPr>
              <w:t>做好</w:t>
            </w:r>
            <w:r>
              <w:rPr>
                <w:rFonts w:hint="eastAsia" w:ascii="仿宋_GB2312" w:hAnsi="仿宋_GB2312" w:eastAsia="仿宋_GB2312" w:cs="仿宋_GB2312"/>
                <w:color w:val="auto"/>
                <w:sz w:val="24"/>
              </w:rPr>
              <w:t>森林防火</w:t>
            </w:r>
            <w:r>
              <w:rPr>
                <w:rFonts w:hint="eastAsia" w:ascii="仿宋_GB2312" w:hAnsi="仿宋_GB2312" w:eastAsia="仿宋_GB2312" w:cs="仿宋_GB2312"/>
                <w:color w:val="auto"/>
                <w:sz w:val="24"/>
                <w:lang w:eastAsia="zh-CN"/>
              </w:rPr>
              <w:t>防控</w:t>
            </w:r>
            <w:r>
              <w:rPr>
                <w:rFonts w:hint="eastAsia" w:ascii="仿宋_GB2312" w:hAnsi="仿宋_GB2312" w:eastAsia="仿宋_GB2312" w:cs="仿宋_GB2312"/>
                <w:color w:val="auto"/>
                <w:sz w:val="24"/>
              </w:rPr>
              <w:t>，</w:t>
            </w:r>
            <w:r>
              <w:rPr>
                <w:rFonts w:hint="eastAsia" w:ascii="仿宋_GB2312" w:hAnsi="仿宋_GB2312" w:eastAsia="仿宋_GB2312" w:cs="仿宋_GB2312"/>
                <w:color w:val="auto"/>
                <w:sz w:val="24"/>
                <w:lang w:eastAsia="zh-CN"/>
              </w:rPr>
              <w:t>保障人民群众生命财产安全</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任务2：</w:t>
            </w:r>
            <w:r>
              <w:rPr>
                <w:rFonts w:hint="eastAsia" w:ascii="仿宋_GB2312" w:hAnsi="仿宋_GB2312" w:eastAsia="仿宋_GB2312" w:cs="仿宋_GB2312"/>
                <w:color w:val="auto"/>
                <w:sz w:val="24"/>
              </w:rPr>
              <w:t>打击破坏森林和野生动植物资源违法行为</w:t>
            </w:r>
            <w:r>
              <w:rPr>
                <w:rFonts w:hint="eastAsia" w:ascii="仿宋_GB2312" w:hAnsi="仿宋_GB2312" w:eastAsia="仿宋_GB2312" w:cs="仿宋_GB2312"/>
                <w:color w:val="auto"/>
                <w:sz w:val="24"/>
                <w:lang w:eastAsia="zh-CN"/>
              </w:rPr>
              <w:t>，</w:t>
            </w:r>
            <w:r>
              <w:rPr>
                <w:rFonts w:hint="eastAsia" w:ascii="仿宋_GB2312" w:hAnsi="仿宋_GB2312" w:eastAsia="仿宋_GB2312" w:cs="仿宋_GB2312"/>
                <w:color w:val="auto"/>
                <w:sz w:val="24"/>
              </w:rPr>
              <w:t>保护森林</w:t>
            </w:r>
            <w:r>
              <w:rPr>
                <w:rFonts w:hint="eastAsia" w:ascii="仿宋_GB2312" w:hAnsi="仿宋_GB2312" w:eastAsia="仿宋_GB2312" w:cs="仿宋_GB2312"/>
                <w:color w:val="auto"/>
                <w:sz w:val="24"/>
                <w:lang w:eastAsia="zh-CN"/>
              </w:rPr>
              <w:t>和动植物</w:t>
            </w:r>
            <w:r>
              <w:rPr>
                <w:rFonts w:hint="eastAsia" w:ascii="仿宋_GB2312" w:hAnsi="仿宋_GB2312" w:eastAsia="仿宋_GB2312" w:cs="仿宋_GB2312"/>
                <w:color w:val="auto"/>
                <w:sz w:val="24"/>
              </w:rPr>
              <w:t>资源</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任务3：</w:t>
            </w:r>
            <w:r>
              <w:rPr>
                <w:rFonts w:hint="eastAsia" w:ascii="仿宋_GB2312" w:hAnsi="仿宋_GB2312" w:eastAsia="仿宋_GB2312" w:cs="仿宋_GB2312"/>
                <w:color w:val="auto"/>
                <w:sz w:val="24"/>
                <w:lang w:val="en-US" w:eastAsia="zh-CN"/>
              </w:rPr>
              <w:t>完成</w:t>
            </w:r>
            <w:r>
              <w:rPr>
                <w:rFonts w:hint="eastAsia" w:ascii="仿宋_GB2312" w:hAnsi="仿宋_GB2312" w:eastAsia="仿宋_GB2312" w:cs="仿宋_GB2312"/>
                <w:color w:val="auto"/>
                <w:sz w:val="24"/>
                <w:lang w:eastAsia="zh-CN"/>
              </w:rPr>
              <w:t>一般罚没收入</w:t>
            </w:r>
            <w:r>
              <w:rPr>
                <w:rFonts w:hint="eastAsia" w:ascii="仿宋_GB2312" w:hAnsi="仿宋_GB2312" w:eastAsia="仿宋_GB2312" w:cs="仿宋_GB2312"/>
                <w:color w:val="auto"/>
                <w:sz w:val="24"/>
                <w:lang w:val="en-US" w:eastAsia="zh-CN"/>
              </w:rPr>
              <w:t>22万元</w:t>
            </w:r>
          </w:p>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260"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pacing w:val="-6"/>
                <w:sz w:val="24"/>
              </w:rPr>
            </w:pPr>
            <w:r>
              <w:rPr>
                <w:rFonts w:hint="eastAsia" w:ascii="仿宋_GB2312" w:hAnsi="仿宋_GB2312" w:eastAsia="仿宋_GB2312" w:cs="仿宋_GB2312"/>
                <w:color w:val="000000"/>
                <w:spacing w:val="-6"/>
                <w:sz w:val="24"/>
              </w:rPr>
              <w:t>年度部门（单位）总体运行情况及取得的成绩</w:t>
            </w:r>
          </w:p>
        </w:tc>
        <w:tc>
          <w:tcPr>
            <w:tcW w:w="8146" w:type="dxa"/>
            <w:gridSpan w:val="1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auto"/>
                <w:sz w:val="24"/>
              </w:rPr>
              <w:t>全年完成非税一般罚没收入</w:t>
            </w:r>
            <w:r>
              <w:rPr>
                <w:rFonts w:hint="eastAsia" w:ascii="仿宋_GB2312" w:hAnsi="仿宋_GB2312" w:eastAsia="仿宋_GB2312" w:cs="仿宋_GB2312"/>
                <w:color w:val="auto"/>
                <w:sz w:val="24"/>
                <w:lang w:val="en-US" w:eastAsia="zh-CN"/>
              </w:rPr>
              <w:t>92.81</w:t>
            </w:r>
            <w:r>
              <w:rPr>
                <w:rFonts w:hint="eastAsia" w:ascii="仿宋_GB2312" w:hAnsi="仿宋_GB2312" w:eastAsia="仿宋_GB2312" w:cs="仿宋_GB2312"/>
                <w:color w:val="auto"/>
                <w:sz w:val="24"/>
              </w:rPr>
              <w:t>万元</w:t>
            </w:r>
            <w:r>
              <w:rPr>
                <w:rFonts w:hint="eastAsia" w:ascii="仿宋_GB2312" w:hAnsi="仿宋_GB2312" w:eastAsia="仿宋_GB2312" w:cs="仿宋_GB2312"/>
                <w:color w:val="auto"/>
                <w:sz w:val="24"/>
                <w:lang w:eastAsia="zh-CN"/>
              </w:rPr>
              <w:t>；森林火灾受害率为</w:t>
            </w:r>
            <w:r>
              <w:rPr>
                <w:rFonts w:hint="eastAsia" w:ascii="仿宋_GB2312" w:hAnsi="仿宋_GB2312" w:eastAsia="仿宋_GB2312" w:cs="仿宋_GB2312"/>
                <w:color w:val="auto"/>
                <w:sz w:val="24"/>
                <w:lang w:val="en-US" w:eastAsia="zh-CN"/>
              </w:rPr>
              <w:t>0.036‰，有力保护森林和动植物资源，保障人民群众生命财产安全。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8"/>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二、部门（单位）收支情况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92" w:hRule="atLeast"/>
          <w:jc w:val="center"/>
        </w:trPr>
        <w:tc>
          <w:tcPr>
            <w:tcW w:w="9800" w:type="dxa"/>
            <w:gridSpan w:val="18"/>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年度收入情况（万元）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收入合计</w:t>
            </w:r>
          </w:p>
        </w:tc>
        <w:tc>
          <w:tcPr>
            <w:tcW w:w="7020" w:type="dxa"/>
            <w:gridSpan w:val="14"/>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014" w:hRule="atLeast"/>
          <w:jc w:val="center"/>
        </w:trPr>
        <w:tc>
          <w:tcPr>
            <w:tcW w:w="1700" w:type="dxa"/>
            <w:gridSpan w:val="3"/>
            <w:vMerge w:val="continue"/>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上年结转</w:t>
            </w: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公共财</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政拨款</w:t>
            </w:r>
          </w:p>
        </w:tc>
        <w:tc>
          <w:tcPr>
            <w:tcW w:w="1705" w:type="dxa"/>
            <w:gridSpan w:val="3"/>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政府基金拨款</w:t>
            </w:r>
          </w:p>
        </w:tc>
        <w:tc>
          <w:tcPr>
            <w:tcW w:w="180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纳入专户管理的非税收入拨款</w:t>
            </w:r>
          </w:p>
        </w:tc>
        <w:tc>
          <w:tcPr>
            <w:tcW w:w="1080" w:type="dxa"/>
            <w:gridSpan w:val="3"/>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72" w:hRule="atLeast"/>
          <w:jc w:val="center"/>
        </w:trPr>
        <w:tc>
          <w:tcPr>
            <w:tcW w:w="1700" w:type="dxa"/>
            <w:gridSpan w:val="3"/>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746.45</w:t>
            </w:r>
          </w:p>
        </w:tc>
        <w:tc>
          <w:tcPr>
            <w:tcW w:w="1355" w:type="dxa"/>
            <w:gridSpan w:val="2"/>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66.64</w:t>
            </w:r>
          </w:p>
        </w:tc>
        <w:tc>
          <w:tcPr>
            <w:tcW w:w="1080" w:type="dxa"/>
            <w:gridSpan w:val="2"/>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658.43</w:t>
            </w:r>
          </w:p>
        </w:tc>
        <w:tc>
          <w:tcPr>
            <w:tcW w:w="1705" w:type="dxa"/>
            <w:gridSpan w:val="3"/>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80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21.38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vAlign w:val="center"/>
          </w:tcPr>
          <w:p>
            <w:pPr>
              <w:spacing w:line="320" w:lineRule="exact"/>
              <w:rPr>
                <w:rFonts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746.45</w:t>
            </w:r>
          </w:p>
        </w:tc>
        <w:tc>
          <w:tcPr>
            <w:tcW w:w="1355" w:type="dxa"/>
            <w:gridSpan w:val="2"/>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66.64</w:t>
            </w:r>
          </w:p>
        </w:tc>
        <w:tc>
          <w:tcPr>
            <w:tcW w:w="1080" w:type="dxa"/>
            <w:gridSpan w:val="2"/>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658.43</w:t>
            </w:r>
          </w:p>
        </w:tc>
        <w:tc>
          <w:tcPr>
            <w:tcW w:w="1705" w:type="dxa"/>
            <w:gridSpan w:val="3"/>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80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21.38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vAlign w:val="center"/>
          </w:tcPr>
          <w:p>
            <w:pPr>
              <w:spacing w:line="320" w:lineRule="exact"/>
              <w:rPr>
                <w:rFonts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right w:val="single" w:color="auto" w:sz="4" w:space="0"/>
            </w:tcBorders>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705" w:type="dxa"/>
            <w:gridSpan w:val="3"/>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80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vAlign w:val="center"/>
          </w:tcPr>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vAlign w:val="center"/>
          </w:tcPr>
          <w:p>
            <w:pPr>
              <w:spacing w:line="320" w:lineRule="exact"/>
              <w:rPr>
                <w:rFonts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right w:val="single" w:color="auto" w:sz="4" w:space="0"/>
            </w:tcBorders>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705" w:type="dxa"/>
            <w:gridSpan w:val="3"/>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80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vAlign w:val="center"/>
          </w:tcPr>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9800" w:type="dxa"/>
            <w:gridSpan w:val="18"/>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部门（单位）年度支出和结余情况（万元）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vAlign w:val="center"/>
          </w:tcPr>
          <w:p>
            <w:pPr>
              <w:snapToGrid w:val="0"/>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支出合计</w:t>
            </w:r>
          </w:p>
        </w:tc>
        <w:tc>
          <w:tcPr>
            <w:tcW w:w="5173" w:type="dxa"/>
            <w:gridSpan w:val="10"/>
            <w:tcBorders>
              <w:left w:val="single" w:color="auto" w:sz="4" w:space="0"/>
              <w:bottom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847" w:type="dxa"/>
            <w:gridSpan w:val="4"/>
            <w:tcBorders>
              <w:left w:val="single" w:color="auto" w:sz="4" w:space="0"/>
              <w:bottom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vMerge w:val="restart"/>
            <w:tcBorders>
              <w:top w:val="single" w:color="auto" w:sz="4" w:space="0"/>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基本支出</w:t>
            </w:r>
          </w:p>
        </w:tc>
        <w:tc>
          <w:tcPr>
            <w:tcW w:w="2738" w:type="dxa"/>
            <w:gridSpan w:val="4"/>
            <w:tcBorders>
              <w:top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080" w:type="dxa"/>
            <w:gridSpan w:val="4"/>
            <w:vMerge w:val="restart"/>
            <w:tcBorders>
              <w:top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项目支出</w:t>
            </w:r>
          </w:p>
        </w:tc>
        <w:tc>
          <w:tcPr>
            <w:tcW w:w="930" w:type="dxa"/>
            <w:gridSpan w:val="2"/>
            <w:vMerge w:val="restart"/>
            <w:tcBorders>
              <w:top w:val="single" w:color="auto" w:sz="4" w:space="0"/>
              <w:left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当年</w:t>
            </w:r>
            <w:r>
              <w:rPr>
                <w:rFonts w:hint="eastAsia" w:ascii="仿宋_GB2312" w:hAnsi="仿宋_GB2312" w:eastAsia="仿宋_GB2312" w:cs="仿宋_GB2312"/>
                <w:color w:val="000000"/>
                <w:sz w:val="24"/>
                <w:lang w:val="en-US" w:eastAsia="zh-CN"/>
              </w:rPr>
              <w:t xml:space="preserve">  </w:t>
            </w:r>
            <w:r>
              <w:rPr>
                <w:rFonts w:hint="eastAsia" w:ascii="仿宋_GB2312" w:hAnsi="仿宋_GB2312" w:eastAsia="仿宋_GB2312" w:cs="仿宋_GB2312"/>
                <w:color w:val="000000"/>
                <w:sz w:val="24"/>
              </w:rPr>
              <w:t>结余</w:t>
            </w:r>
          </w:p>
        </w:tc>
        <w:tc>
          <w:tcPr>
            <w:tcW w:w="917" w:type="dxa"/>
            <w:gridSpan w:val="2"/>
            <w:vMerge w:val="restart"/>
            <w:tcBorders>
              <w:top w:val="single" w:color="auto" w:sz="4" w:space="0"/>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累计</w:t>
            </w:r>
            <w:r>
              <w:rPr>
                <w:rFonts w:hint="eastAsia" w:ascii="仿宋_GB2312" w:hAnsi="仿宋_GB2312" w:eastAsia="仿宋_GB2312" w:cs="仿宋_GB2312"/>
                <w:color w:val="000000"/>
                <w:sz w:val="24"/>
                <w:lang w:val="en-US" w:eastAsia="zh-CN"/>
              </w:rPr>
              <w:t xml:space="preserve">  </w:t>
            </w:r>
            <w:r>
              <w:rPr>
                <w:rFonts w:hint="eastAsia" w:ascii="仿宋_GB2312" w:hAnsi="仿宋_GB2312" w:eastAsia="仿宋_GB2312" w:cs="仿宋_GB2312"/>
                <w:color w:val="000000"/>
                <w:sz w:val="24"/>
              </w:rPr>
              <w:t>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vMerge w:val="continue"/>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人员支出</w:t>
            </w:r>
          </w:p>
        </w:tc>
        <w:tc>
          <w:tcPr>
            <w:tcW w:w="1658"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公用支出</w:t>
            </w:r>
          </w:p>
        </w:tc>
        <w:tc>
          <w:tcPr>
            <w:tcW w:w="1080" w:type="dxa"/>
            <w:gridSpan w:val="4"/>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30" w:type="dxa"/>
            <w:gridSpan w:val="2"/>
            <w:vMerge w:val="continue"/>
            <w:tcBorders>
              <w:left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17" w:type="dxa"/>
            <w:gridSpan w:val="2"/>
            <w:vMerge w:val="continue"/>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77"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704.65</w:t>
            </w:r>
          </w:p>
        </w:tc>
        <w:tc>
          <w:tcPr>
            <w:tcW w:w="1355" w:type="dxa"/>
            <w:gridSpan w:val="2"/>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653.4</w:t>
            </w:r>
          </w:p>
        </w:tc>
        <w:tc>
          <w:tcPr>
            <w:tcW w:w="1080" w:type="dxa"/>
            <w:gridSpan w:val="2"/>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563.06</w:t>
            </w:r>
          </w:p>
        </w:tc>
        <w:tc>
          <w:tcPr>
            <w:tcW w:w="1658" w:type="dxa"/>
            <w:gridSpan w:val="2"/>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90.34</w:t>
            </w:r>
          </w:p>
        </w:tc>
        <w:tc>
          <w:tcPr>
            <w:tcW w:w="1080" w:type="dxa"/>
            <w:gridSpan w:val="4"/>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51.25</w:t>
            </w:r>
          </w:p>
        </w:tc>
        <w:tc>
          <w:tcPr>
            <w:tcW w:w="930" w:type="dxa"/>
            <w:gridSpan w:val="2"/>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-24.84</w:t>
            </w:r>
          </w:p>
        </w:tc>
        <w:tc>
          <w:tcPr>
            <w:tcW w:w="917" w:type="dxa"/>
            <w:gridSpan w:val="2"/>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41.8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color w:val="000000"/>
                <w:sz w:val="24"/>
              </w:rPr>
            </w:pPr>
            <w:r>
              <w:rPr>
                <w:rFonts w:hint="eastAsia" w:ascii="仿宋_GB2312" w:hAnsi="仿宋_GB2312" w:eastAsia="仿宋_GB2312" w:cs="仿宋_GB2312"/>
                <w:sz w:val="24"/>
              </w:rPr>
              <w:t>1、局机关</w:t>
            </w:r>
          </w:p>
        </w:tc>
        <w:tc>
          <w:tcPr>
            <w:tcW w:w="1080" w:type="dxa"/>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704.65</w:t>
            </w:r>
          </w:p>
        </w:tc>
        <w:tc>
          <w:tcPr>
            <w:tcW w:w="1355" w:type="dxa"/>
            <w:gridSpan w:val="2"/>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653.4</w:t>
            </w:r>
          </w:p>
        </w:tc>
        <w:tc>
          <w:tcPr>
            <w:tcW w:w="1080" w:type="dxa"/>
            <w:gridSpan w:val="2"/>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563.06</w:t>
            </w:r>
          </w:p>
        </w:tc>
        <w:tc>
          <w:tcPr>
            <w:tcW w:w="1658" w:type="dxa"/>
            <w:gridSpan w:val="2"/>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90.34</w:t>
            </w:r>
          </w:p>
        </w:tc>
        <w:tc>
          <w:tcPr>
            <w:tcW w:w="1080" w:type="dxa"/>
            <w:gridSpan w:val="4"/>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51.25</w:t>
            </w:r>
          </w:p>
        </w:tc>
        <w:tc>
          <w:tcPr>
            <w:tcW w:w="930" w:type="dxa"/>
            <w:gridSpan w:val="2"/>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-24.84</w:t>
            </w:r>
          </w:p>
        </w:tc>
        <w:tc>
          <w:tcPr>
            <w:tcW w:w="917" w:type="dxa"/>
            <w:gridSpan w:val="2"/>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41.8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color w:val="000000"/>
                <w:sz w:val="24"/>
              </w:rPr>
            </w:pPr>
            <w:r>
              <w:rPr>
                <w:rFonts w:hint="eastAsia" w:ascii="仿宋_GB2312" w:hAnsi="仿宋_GB2312" w:eastAsia="仿宋_GB2312" w:cs="仿宋_GB2312"/>
                <w:sz w:val="24"/>
              </w:rPr>
              <w:t>2、二级机构1</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658"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30" w:type="dxa"/>
            <w:gridSpan w:val="2"/>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17"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color w:val="000000"/>
                <w:sz w:val="24"/>
              </w:rPr>
            </w:pPr>
            <w:r>
              <w:rPr>
                <w:rFonts w:hint="eastAsia" w:ascii="仿宋_GB2312" w:hAnsi="仿宋_GB2312" w:eastAsia="仿宋_GB2312" w:cs="仿宋_GB2312"/>
                <w:sz w:val="24"/>
              </w:rPr>
              <w:t>3、二级机构2</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658"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30" w:type="dxa"/>
            <w:gridSpan w:val="2"/>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17"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三公经费</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7020" w:type="dxa"/>
            <w:gridSpan w:val="14"/>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35" w:hRule="atLeast"/>
          <w:jc w:val="center"/>
        </w:trPr>
        <w:tc>
          <w:tcPr>
            <w:tcW w:w="1700" w:type="dxa"/>
            <w:gridSpan w:val="3"/>
            <w:vMerge w:val="continue"/>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公务接待费</w:t>
            </w: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公务用车运维费</w:t>
            </w:r>
          </w:p>
        </w:tc>
        <w:tc>
          <w:tcPr>
            <w:tcW w:w="2160"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公务用车购置费</w:t>
            </w:r>
          </w:p>
        </w:tc>
        <w:tc>
          <w:tcPr>
            <w:tcW w:w="2425"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因公出国费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8"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7.28</w:t>
            </w:r>
          </w:p>
        </w:tc>
        <w:tc>
          <w:tcPr>
            <w:tcW w:w="1355" w:type="dxa"/>
            <w:gridSpan w:val="2"/>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2.26</w:t>
            </w:r>
          </w:p>
        </w:tc>
        <w:tc>
          <w:tcPr>
            <w:tcW w:w="1080" w:type="dxa"/>
            <w:gridSpan w:val="2"/>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5.02</w:t>
            </w:r>
          </w:p>
        </w:tc>
        <w:tc>
          <w:tcPr>
            <w:tcW w:w="2160" w:type="dxa"/>
            <w:gridSpan w:val="5"/>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2425" w:type="dxa"/>
            <w:gridSpan w:val="5"/>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7.28</w:t>
            </w:r>
          </w:p>
        </w:tc>
        <w:tc>
          <w:tcPr>
            <w:tcW w:w="1355" w:type="dxa"/>
            <w:gridSpan w:val="2"/>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2.26</w:t>
            </w:r>
          </w:p>
        </w:tc>
        <w:tc>
          <w:tcPr>
            <w:tcW w:w="1080" w:type="dxa"/>
            <w:gridSpan w:val="2"/>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5.02</w:t>
            </w:r>
          </w:p>
        </w:tc>
        <w:tc>
          <w:tcPr>
            <w:tcW w:w="2160" w:type="dxa"/>
            <w:gridSpan w:val="5"/>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2425" w:type="dxa"/>
            <w:gridSpan w:val="5"/>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25"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04"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25"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固定资产</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6298" w:type="dxa"/>
            <w:gridSpan w:val="13"/>
            <w:tcBorders>
              <w:left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722" w:type="dxa"/>
            <w:vMerge w:val="restart"/>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35" w:type="dxa"/>
            <w:gridSpan w:val="4"/>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在用固定资产</w:t>
            </w:r>
          </w:p>
        </w:tc>
        <w:tc>
          <w:tcPr>
            <w:tcW w:w="3863" w:type="dxa"/>
            <w:gridSpan w:val="9"/>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出租固定资产</w:t>
            </w:r>
          </w:p>
        </w:tc>
        <w:tc>
          <w:tcPr>
            <w:tcW w:w="722" w:type="dxa"/>
            <w:vMerge w:val="continue"/>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45"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172.77</w:t>
            </w:r>
          </w:p>
        </w:tc>
        <w:tc>
          <w:tcPr>
            <w:tcW w:w="2435" w:type="dxa"/>
            <w:gridSpan w:val="4"/>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172.77</w:t>
            </w:r>
          </w:p>
        </w:tc>
        <w:tc>
          <w:tcPr>
            <w:tcW w:w="3863" w:type="dxa"/>
            <w:gridSpan w:val="9"/>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722" w:type="dxa"/>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74"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172.77</w:t>
            </w:r>
          </w:p>
        </w:tc>
        <w:tc>
          <w:tcPr>
            <w:tcW w:w="2435" w:type="dxa"/>
            <w:gridSpan w:val="4"/>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172.77</w:t>
            </w:r>
          </w:p>
        </w:tc>
        <w:tc>
          <w:tcPr>
            <w:tcW w:w="3863" w:type="dxa"/>
            <w:gridSpan w:val="9"/>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722" w:type="dxa"/>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35" w:type="dxa"/>
            <w:gridSpan w:val="4"/>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863" w:type="dxa"/>
            <w:gridSpan w:val="9"/>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22" w:type="dxa"/>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35" w:type="dxa"/>
            <w:gridSpan w:val="4"/>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863" w:type="dxa"/>
            <w:gridSpan w:val="9"/>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22" w:type="dxa"/>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8"/>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三、部门（单位）整体支出绩效自评情况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441" w:type="dxa"/>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整体支出绩效定性目标及实施计划完成情况</w:t>
            </w:r>
          </w:p>
        </w:tc>
        <w:tc>
          <w:tcPr>
            <w:tcW w:w="3774"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预期目标</w:t>
            </w:r>
          </w:p>
        </w:tc>
        <w:tc>
          <w:tcPr>
            <w:tcW w:w="4585" w:type="dxa"/>
            <w:gridSpan w:val="10"/>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实际完成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172"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3774" w:type="dxa"/>
            <w:gridSpan w:val="7"/>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目标1：解决2020年度森林公安机关警用装备的更新及购置</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目标2：改善执法办案条件</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目标3：维护林区治安、保护森林和野生动植物资源，促进生态文明建设和经济社会可持续发展</w:t>
            </w:r>
          </w:p>
        </w:tc>
        <w:tc>
          <w:tcPr>
            <w:tcW w:w="4585" w:type="dxa"/>
            <w:gridSpan w:val="10"/>
            <w:vAlign w:val="center"/>
          </w:tcPr>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1.购置了一批警用装备</w:t>
            </w:r>
          </w:p>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2.更新购置警用及日常办公设备，改善了民警执法办案条件</w:t>
            </w:r>
          </w:p>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3.有力维护林区治安，保护森林</w:t>
            </w:r>
            <w:r>
              <w:rPr>
                <w:rFonts w:hint="eastAsia" w:ascii="仿宋_GB2312" w:hAnsi="仿宋_GB2312" w:eastAsia="仿宋_GB2312" w:cs="仿宋_GB2312"/>
                <w:color w:val="000000"/>
                <w:sz w:val="24"/>
              </w:rPr>
              <w:t>和野生动植物资源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441" w:type="dxa"/>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整体支出</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绩效定量目标及实施计划完成情况</w:t>
            </w:r>
          </w:p>
        </w:tc>
        <w:tc>
          <w:tcPr>
            <w:tcW w:w="2966"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评价内容</w:t>
            </w:r>
          </w:p>
        </w:tc>
        <w:tc>
          <w:tcPr>
            <w:tcW w:w="2709"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绩效目标</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产出目标</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（部门工作实绩，包含上级部门和市委市政府布置的重点工作、实事任务等，根据部门实际进行调整细化）</w:t>
            </w:r>
          </w:p>
        </w:tc>
        <w:tc>
          <w:tcPr>
            <w:tcW w:w="1417" w:type="dxa"/>
            <w:gridSpan w:val="2"/>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质量指标</w:t>
            </w:r>
          </w:p>
        </w:tc>
        <w:tc>
          <w:tcPr>
            <w:tcW w:w="2709" w:type="dxa"/>
            <w:gridSpan w:val="5"/>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指标1：</w:t>
            </w:r>
            <w:r>
              <w:rPr>
                <w:rFonts w:hint="eastAsia" w:ascii="仿宋_GB2312" w:hAnsi="仿宋_GB2312" w:eastAsia="仿宋_GB2312" w:cs="仿宋_GB2312"/>
                <w:color w:val="000000"/>
                <w:sz w:val="24"/>
                <w:lang w:eastAsia="zh-CN"/>
              </w:rPr>
              <w:t>维护林区治安</w:t>
            </w:r>
          </w:p>
        </w:tc>
        <w:tc>
          <w:tcPr>
            <w:tcW w:w="2684" w:type="dxa"/>
            <w:gridSpan w:val="6"/>
            <w:vAlign w:val="center"/>
          </w:tcPr>
          <w:p>
            <w:pPr>
              <w:autoSpaceDN w:val="0"/>
              <w:spacing w:line="320" w:lineRule="exact"/>
              <w:jc w:val="center"/>
              <w:textAlignment w:val="center"/>
              <w:rPr>
                <w:rFonts w:hint="eastAsia" w:ascii="仿宋_GB2312" w:hAnsi="仿宋_GB2312" w:eastAsia="仿宋_GB2312" w:cs="仿宋_GB2312"/>
                <w:b/>
                <w:color w:val="000000"/>
                <w:sz w:val="24"/>
                <w:lang w:eastAsia="zh-CN"/>
              </w:rPr>
            </w:pPr>
            <w:r>
              <w:rPr>
                <w:rFonts w:hint="eastAsia" w:ascii="仿宋_GB2312" w:hAnsi="仿宋_GB2312" w:eastAsia="仿宋_GB2312" w:cs="仿宋_GB2312"/>
                <w:b/>
                <w:color w:val="000000"/>
                <w:sz w:val="24"/>
                <w:lang w:eastAsia="zh-CN"/>
              </w:rPr>
              <w:t>林区治安秩序好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88"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spacing w:line="320" w:lineRule="exact"/>
              <w:rPr>
                <w:rFonts w:ascii="仿宋_GB2312" w:hAnsi="仿宋_GB2312" w:eastAsia="仿宋_GB2312" w:cs="仿宋_GB2312"/>
                <w:sz w:val="24"/>
              </w:rPr>
            </w:pPr>
          </w:p>
        </w:tc>
        <w:tc>
          <w:tcPr>
            <w:tcW w:w="2709" w:type="dxa"/>
            <w:gridSpan w:val="5"/>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指标2：</w:t>
            </w:r>
            <w:r>
              <w:rPr>
                <w:rFonts w:hint="eastAsia" w:ascii="仿宋_GB2312" w:hAnsi="仿宋_GB2312" w:eastAsia="仿宋_GB2312" w:cs="仿宋_GB2312"/>
                <w:color w:val="000000"/>
                <w:sz w:val="24"/>
                <w:lang w:eastAsia="zh-CN"/>
              </w:rPr>
              <w:t>森林火灾受害率降低</w:t>
            </w:r>
          </w:p>
        </w:tc>
        <w:tc>
          <w:tcPr>
            <w:tcW w:w="2684" w:type="dxa"/>
            <w:gridSpan w:val="6"/>
            <w:vAlign w:val="center"/>
          </w:tcPr>
          <w:p>
            <w:pPr>
              <w:autoSpaceDN w:val="0"/>
              <w:spacing w:line="320" w:lineRule="exact"/>
              <w:jc w:val="center"/>
              <w:textAlignment w:val="center"/>
              <w:rPr>
                <w:rFonts w:hint="eastAsia" w:ascii="仿宋_GB2312" w:hAnsi="仿宋_GB2312" w:eastAsia="仿宋_GB2312" w:cs="仿宋_GB2312"/>
                <w:b/>
                <w:color w:val="000000"/>
                <w:sz w:val="24"/>
                <w:lang w:eastAsia="zh-CN"/>
              </w:rPr>
            </w:pPr>
            <w:r>
              <w:rPr>
                <w:rFonts w:hint="eastAsia" w:ascii="仿宋_GB2312" w:hAnsi="仿宋_GB2312" w:eastAsia="仿宋_GB2312" w:cs="仿宋_GB2312"/>
                <w:b/>
                <w:color w:val="000000"/>
                <w:sz w:val="24"/>
                <w:lang w:eastAsia="zh-CN"/>
              </w:rPr>
              <w:t>森林火灾受害率降低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131"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数量指标</w:t>
            </w:r>
          </w:p>
        </w:tc>
        <w:tc>
          <w:tcPr>
            <w:tcW w:w="2709" w:type="dxa"/>
            <w:gridSpan w:val="5"/>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完成罚没收入</w:t>
            </w:r>
            <w:r>
              <w:rPr>
                <w:rFonts w:hint="eastAsia" w:ascii="仿宋_GB2312" w:hAnsi="仿宋_GB2312" w:eastAsia="仿宋_GB2312" w:cs="仿宋_GB2312"/>
                <w:color w:val="000000"/>
                <w:sz w:val="24"/>
                <w:lang w:val="en-US" w:eastAsia="zh-CN"/>
              </w:rPr>
              <w:t>22万元</w:t>
            </w:r>
          </w:p>
        </w:tc>
        <w:tc>
          <w:tcPr>
            <w:tcW w:w="2684" w:type="dxa"/>
            <w:gridSpan w:val="6"/>
            <w:vAlign w:val="center"/>
          </w:tcPr>
          <w:p>
            <w:pPr>
              <w:autoSpaceDN w:val="0"/>
              <w:spacing w:line="320" w:lineRule="exact"/>
              <w:jc w:val="center"/>
              <w:textAlignment w:val="center"/>
              <w:rPr>
                <w:rFonts w:hint="default" w:ascii="仿宋_GB2312" w:hAnsi="仿宋_GB2312" w:eastAsia="仿宋_GB2312" w:cs="仿宋_GB2312"/>
                <w:b/>
                <w:color w:val="000000"/>
                <w:sz w:val="24"/>
                <w:lang w:val="en-US" w:eastAsia="zh-CN"/>
              </w:rPr>
            </w:pPr>
            <w:r>
              <w:rPr>
                <w:rFonts w:hint="eastAsia" w:ascii="仿宋_GB2312" w:hAnsi="仿宋_GB2312" w:eastAsia="仿宋_GB2312" w:cs="仿宋_GB2312"/>
                <w:b/>
                <w:color w:val="000000"/>
                <w:sz w:val="24"/>
                <w:lang w:eastAsia="zh-CN"/>
              </w:rPr>
              <w:t>完成罚没收入</w:t>
            </w:r>
            <w:r>
              <w:rPr>
                <w:rFonts w:hint="eastAsia" w:ascii="仿宋_GB2312" w:hAnsi="仿宋_GB2312" w:eastAsia="仿宋_GB2312" w:cs="仿宋_GB2312"/>
                <w:b/>
                <w:color w:val="000000"/>
                <w:sz w:val="24"/>
                <w:lang w:val="en-US" w:eastAsia="zh-CN"/>
              </w:rPr>
              <w:t>92.81万元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052"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时效指标</w:t>
            </w:r>
          </w:p>
        </w:tc>
        <w:tc>
          <w:tcPr>
            <w:tcW w:w="2709" w:type="dxa"/>
            <w:gridSpan w:val="5"/>
            <w:vAlign w:val="center"/>
          </w:tcPr>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全年</w:t>
            </w:r>
          </w:p>
        </w:tc>
        <w:tc>
          <w:tcPr>
            <w:tcW w:w="2684" w:type="dxa"/>
            <w:gridSpan w:val="6"/>
            <w:vAlign w:val="center"/>
          </w:tcPr>
          <w:p>
            <w:pPr>
              <w:autoSpaceDN w:val="0"/>
              <w:spacing w:line="320" w:lineRule="exact"/>
              <w:jc w:val="center"/>
              <w:textAlignment w:val="center"/>
              <w:rPr>
                <w:rFonts w:hint="eastAsia" w:ascii="仿宋_GB2312" w:hAnsi="仿宋_GB2312" w:eastAsia="仿宋_GB2312" w:cs="仿宋_GB2312"/>
                <w:b/>
                <w:color w:val="000000"/>
                <w:sz w:val="24"/>
                <w:lang w:eastAsia="zh-CN"/>
              </w:rPr>
            </w:pPr>
            <w:r>
              <w:rPr>
                <w:rFonts w:hint="eastAsia" w:ascii="仿宋_GB2312" w:hAnsi="仿宋_GB2312" w:eastAsia="仿宋_GB2312" w:cs="仿宋_GB2312"/>
                <w:b/>
                <w:color w:val="000000"/>
                <w:sz w:val="24"/>
                <w:lang w:eastAsia="zh-CN"/>
              </w:rPr>
              <w:t>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332"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成本指标</w:t>
            </w:r>
          </w:p>
        </w:tc>
        <w:tc>
          <w:tcPr>
            <w:tcW w:w="2709" w:type="dxa"/>
            <w:gridSpan w:val="5"/>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eastAsia="zh-CN"/>
              </w:rPr>
              <w:t>办案与专项经费</w:t>
            </w:r>
            <w:r>
              <w:rPr>
                <w:rFonts w:hint="eastAsia" w:ascii="仿宋_GB2312" w:hAnsi="仿宋_GB2312" w:eastAsia="仿宋_GB2312" w:cs="仿宋_GB2312"/>
                <w:color w:val="000000"/>
                <w:sz w:val="24"/>
                <w:lang w:val="en-US" w:eastAsia="zh-CN"/>
              </w:rPr>
              <w:t>35.25万元</w:t>
            </w:r>
          </w:p>
        </w:tc>
        <w:tc>
          <w:tcPr>
            <w:tcW w:w="2684" w:type="dxa"/>
            <w:gridSpan w:val="6"/>
            <w:vAlign w:val="center"/>
          </w:tcPr>
          <w:p>
            <w:pPr>
              <w:autoSpaceDN w:val="0"/>
              <w:spacing w:line="320" w:lineRule="exact"/>
              <w:jc w:val="center"/>
              <w:textAlignment w:val="center"/>
              <w:rPr>
                <w:rFonts w:hint="eastAsia" w:ascii="仿宋_GB2312" w:hAnsi="仿宋_GB2312" w:eastAsia="仿宋_GB2312" w:cs="仿宋_GB2312"/>
                <w:b/>
                <w:color w:val="000000"/>
                <w:sz w:val="24"/>
                <w:lang w:eastAsia="zh-CN"/>
              </w:rPr>
            </w:pPr>
            <w:r>
              <w:rPr>
                <w:rFonts w:hint="eastAsia" w:ascii="仿宋_GB2312" w:hAnsi="仿宋_GB2312" w:eastAsia="仿宋_GB2312" w:cs="仿宋_GB2312"/>
                <w:b/>
                <w:color w:val="000000"/>
                <w:sz w:val="24"/>
                <w:lang w:eastAsia="zh-CN"/>
              </w:rPr>
              <w:t>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015"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效益目标</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（预期实现的效益）</w:t>
            </w:r>
          </w:p>
        </w:tc>
        <w:tc>
          <w:tcPr>
            <w:tcW w:w="1417"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社会效益</w:t>
            </w:r>
          </w:p>
        </w:tc>
        <w:tc>
          <w:tcPr>
            <w:tcW w:w="2709" w:type="dxa"/>
            <w:gridSpan w:val="5"/>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1.维护林区治安秩序稳定</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2.改善人居生活环境</w:t>
            </w:r>
          </w:p>
        </w:tc>
        <w:tc>
          <w:tcPr>
            <w:tcW w:w="2684" w:type="dxa"/>
            <w:gridSpan w:val="6"/>
            <w:vAlign w:val="center"/>
          </w:tcPr>
          <w:p>
            <w:pPr>
              <w:autoSpaceDN w:val="0"/>
              <w:spacing w:line="320" w:lineRule="exact"/>
              <w:jc w:val="center"/>
              <w:textAlignment w:val="center"/>
              <w:rPr>
                <w:rFonts w:hint="eastAsia" w:ascii="仿宋_GB2312" w:hAnsi="仿宋_GB2312" w:eastAsia="仿宋_GB2312" w:cs="仿宋_GB2312"/>
                <w:b/>
                <w:color w:val="000000"/>
                <w:sz w:val="24"/>
                <w:lang w:eastAsia="zh-CN"/>
              </w:rPr>
            </w:pPr>
            <w:r>
              <w:rPr>
                <w:rFonts w:hint="eastAsia" w:ascii="仿宋_GB2312" w:hAnsi="仿宋_GB2312" w:eastAsia="仿宋_GB2312" w:cs="仿宋_GB2312"/>
                <w:b/>
                <w:color w:val="000000"/>
                <w:sz w:val="24"/>
                <w:lang w:eastAsia="zh-CN"/>
              </w:rPr>
              <w:t>林区治安环境优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989"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经济效益</w:t>
            </w:r>
          </w:p>
        </w:tc>
        <w:tc>
          <w:tcPr>
            <w:tcW w:w="2709" w:type="dxa"/>
            <w:gridSpan w:val="5"/>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完成罚没收入</w:t>
            </w:r>
            <w:r>
              <w:rPr>
                <w:rFonts w:hint="eastAsia" w:ascii="仿宋_GB2312" w:hAnsi="仿宋_GB2312" w:eastAsia="仿宋_GB2312" w:cs="仿宋_GB2312"/>
                <w:color w:val="000000"/>
                <w:sz w:val="24"/>
                <w:lang w:val="en-US" w:eastAsia="zh-CN"/>
              </w:rPr>
              <w:t>22万</w:t>
            </w:r>
          </w:p>
        </w:tc>
        <w:tc>
          <w:tcPr>
            <w:tcW w:w="2684" w:type="dxa"/>
            <w:gridSpan w:val="6"/>
            <w:vAlign w:val="center"/>
          </w:tcPr>
          <w:p>
            <w:pPr>
              <w:autoSpaceDN w:val="0"/>
              <w:spacing w:line="320" w:lineRule="exact"/>
              <w:jc w:val="center"/>
              <w:textAlignment w:val="center"/>
              <w:rPr>
                <w:rFonts w:hint="default" w:ascii="仿宋_GB2312" w:hAnsi="仿宋_GB2312" w:eastAsia="仿宋_GB2312" w:cs="仿宋_GB2312"/>
                <w:b/>
                <w:color w:val="000000"/>
                <w:sz w:val="24"/>
                <w:lang w:val="en-US" w:eastAsia="zh-CN"/>
              </w:rPr>
            </w:pPr>
            <w:r>
              <w:rPr>
                <w:rFonts w:hint="eastAsia" w:ascii="仿宋_GB2312" w:hAnsi="仿宋_GB2312" w:eastAsia="仿宋_GB2312" w:cs="仿宋_GB2312"/>
                <w:b/>
                <w:color w:val="000000"/>
                <w:sz w:val="24"/>
                <w:lang w:eastAsia="zh-CN"/>
              </w:rPr>
              <w:t>完成罚没收入</w:t>
            </w:r>
            <w:r>
              <w:rPr>
                <w:rFonts w:hint="eastAsia" w:ascii="仿宋_GB2312" w:hAnsi="仿宋_GB2312" w:eastAsia="仿宋_GB2312" w:cs="仿宋_GB2312"/>
                <w:b/>
                <w:color w:val="000000"/>
                <w:sz w:val="24"/>
                <w:lang w:val="en-US" w:eastAsia="zh-CN"/>
              </w:rPr>
              <w:t>92.81万元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70"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生态效益</w:t>
            </w:r>
          </w:p>
        </w:tc>
        <w:tc>
          <w:tcPr>
            <w:tcW w:w="2709" w:type="dxa"/>
            <w:gridSpan w:val="5"/>
            <w:vAlign w:val="center"/>
          </w:tcPr>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1.天更蓝，水更清</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2.生态文明建设稳步推进</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b/>
                <w:color w:val="000000"/>
                <w:sz w:val="24"/>
                <w:lang w:eastAsia="zh-CN"/>
              </w:rPr>
              <w:t>生态文明建设显著提高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社会公众或服务对象满意度</w:t>
            </w:r>
          </w:p>
        </w:tc>
        <w:tc>
          <w:tcPr>
            <w:tcW w:w="2709" w:type="dxa"/>
            <w:gridSpan w:val="5"/>
            <w:vAlign w:val="center"/>
          </w:tcPr>
          <w:p>
            <w:pPr>
              <w:autoSpaceDN w:val="0"/>
              <w:spacing w:line="360" w:lineRule="auto"/>
              <w:jc w:val="both"/>
              <w:textAlignment w:val="center"/>
              <w:rPr>
                <w:rFonts w:hint="default" w:ascii="仿宋_GB2312" w:hAnsi="仿宋_GB2312" w:eastAsia="仿宋_GB2312" w:cs="仿宋_GB2312"/>
                <w:color w:val="000000"/>
                <w:sz w:val="24"/>
                <w:lang w:val="en-US"/>
              </w:rPr>
            </w:pPr>
            <w:r>
              <w:rPr>
                <w:rFonts w:hint="eastAsia" w:ascii="仿宋_GB2312" w:hAnsi="仿宋_GB2312" w:eastAsia="仿宋_GB2312" w:cs="仿宋_GB2312"/>
                <w:color w:val="000000"/>
                <w:sz w:val="24"/>
                <w:lang w:eastAsia="zh-CN"/>
              </w:rPr>
              <w:t>林农满意率达到</w:t>
            </w:r>
            <w:r>
              <w:rPr>
                <w:rFonts w:hint="eastAsia" w:ascii="仿宋_GB2312" w:hAnsi="仿宋_GB2312" w:eastAsia="仿宋_GB2312" w:cs="仿宋_GB2312"/>
                <w:color w:val="000000"/>
                <w:sz w:val="24"/>
                <w:lang w:val="en-US" w:eastAsia="zh-CN"/>
              </w:rPr>
              <w:t>100%</w:t>
            </w:r>
          </w:p>
          <w:p>
            <w:pPr>
              <w:autoSpaceDN w:val="0"/>
              <w:spacing w:line="320" w:lineRule="exact"/>
              <w:jc w:val="left"/>
              <w:textAlignment w:val="center"/>
              <w:rPr>
                <w:rFonts w:ascii="仿宋_GB2312" w:hAnsi="仿宋_GB2312" w:eastAsia="仿宋_GB2312" w:cs="仿宋_GB2312"/>
                <w:color w:val="000000"/>
                <w:sz w:val="24"/>
              </w:rPr>
            </w:pPr>
          </w:p>
        </w:tc>
        <w:tc>
          <w:tcPr>
            <w:tcW w:w="2684" w:type="dxa"/>
            <w:gridSpan w:val="6"/>
            <w:vAlign w:val="center"/>
          </w:tcPr>
          <w:p>
            <w:pPr>
              <w:autoSpaceDN w:val="0"/>
              <w:spacing w:line="320" w:lineRule="exact"/>
              <w:jc w:val="center"/>
              <w:textAlignment w:val="center"/>
              <w:rPr>
                <w:rFonts w:hint="default" w:ascii="仿宋_GB2312" w:hAnsi="仿宋_GB2312" w:eastAsia="仿宋_GB2312" w:cs="仿宋_GB2312"/>
                <w:b/>
                <w:color w:val="000000"/>
                <w:sz w:val="24"/>
                <w:lang w:val="en-US" w:eastAsia="zh-CN"/>
              </w:rPr>
            </w:pPr>
            <w:r>
              <w:rPr>
                <w:rFonts w:hint="eastAsia" w:ascii="仿宋_GB2312" w:hAnsi="仿宋_GB2312" w:eastAsia="仿宋_GB2312" w:cs="仿宋_GB2312"/>
                <w:b/>
                <w:color w:val="000000"/>
                <w:sz w:val="24"/>
                <w:lang w:val="en-US" w:eastAsia="zh-CN"/>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2990"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绩效自评综合得分</w:t>
            </w:r>
          </w:p>
        </w:tc>
        <w:tc>
          <w:tcPr>
            <w:tcW w:w="6810" w:type="dxa"/>
            <w:gridSpan w:val="13"/>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99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2990"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评价等次</w:t>
            </w:r>
          </w:p>
        </w:tc>
        <w:tc>
          <w:tcPr>
            <w:tcW w:w="6810" w:type="dxa"/>
            <w:gridSpan w:val="13"/>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9800" w:type="dxa"/>
            <w:gridSpan w:val="18"/>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四、评价人员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姓  名</w:t>
            </w:r>
          </w:p>
        </w:tc>
        <w:tc>
          <w:tcPr>
            <w:tcW w:w="3561"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职务/职称</w:t>
            </w:r>
          </w:p>
        </w:tc>
        <w:tc>
          <w:tcPr>
            <w:tcW w:w="1479"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单  位</w:t>
            </w:r>
          </w:p>
        </w:tc>
        <w:tc>
          <w:tcPr>
            <w:tcW w:w="3106" w:type="dxa"/>
            <w:gridSpan w:val="9"/>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签  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徐海湘</w:t>
            </w:r>
          </w:p>
        </w:tc>
        <w:tc>
          <w:tcPr>
            <w:tcW w:w="3561" w:type="dxa"/>
            <w:gridSpan w:val="6"/>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局长</w:t>
            </w:r>
          </w:p>
        </w:tc>
        <w:tc>
          <w:tcPr>
            <w:tcW w:w="1479" w:type="dxa"/>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森林公安</w:t>
            </w:r>
          </w:p>
        </w:tc>
        <w:tc>
          <w:tcPr>
            <w:tcW w:w="3106" w:type="dxa"/>
            <w:gridSpan w:val="9"/>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殷军颖</w:t>
            </w:r>
          </w:p>
        </w:tc>
        <w:tc>
          <w:tcPr>
            <w:tcW w:w="3561" w:type="dxa"/>
            <w:gridSpan w:val="6"/>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政委</w:t>
            </w:r>
          </w:p>
        </w:tc>
        <w:tc>
          <w:tcPr>
            <w:tcW w:w="1479" w:type="dxa"/>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森林公安</w:t>
            </w:r>
          </w:p>
        </w:tc>
        <w:tc>
          <w:tcPr>
            <w:tcW w:w="3106" w:type="dxa"/>
            <w:gridSpan w:val="9"/>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付</w:t>
            </w:r>
            <w:r>
              <w:rPr>
                <w:rFonts w:hint="eastAsia" w:ascii="仿宋_GB2312" w:hAnsi="仿宋_GB2312" w:eastAsia="仿宋_GB2312" w:cs="仿宋_GB2312"/>
                <w:color w:val="000000"/>
                <w:sz w:val="24"/>
                <w:lang w:val="en-US" w:eastAsia="zh-CN"/>
              </w:rPr>
              <w:t xml:space="preserve">  </w:t>
            </w:r>
            <w:r>
              <w:rPr>
                <w:rFonts w:hint="eastAsia" w:ascii="仿宋_GB2312" w:hAnsi="仿宋_GB2312" w:eastAsia="仿宋_GB2312" w:cs="仿宋_GB2312"/>
                <w:color w:val="000000"/>
                <w:sz w:val="24"/>
                <w:lang w:eastAsia="zh-CN"/>
              </w:rPr>
              <w:t>俊</w:t>
            </w:r>
          </w:p>
        </w:tc>
        <w:tc>
          <w:tcPr>
            <w:tcW w:w="3561" w:type="dxa"/>
            <w:gridSpan w:val="6"/>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科长</w:t>
            </w:r>
          </w:p>
        </w:tc>
        <w:tc>
          <w:tcPr>
            <w:tcW w:w="1479" w:type="dxa"/>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森林公安</w:t>
            </w:r>
          </w:p>
        </w:tc>
        <w:tc>
          <w:tcPr>
            <w:tcW w:w="3106" w:type="dxa"/>
            <w:gridSpan w:val="9"/>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561"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479" w:type="dxa"/>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106" w:type="dxa"/>
            <w:gridSpan w:val="9"/>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22" w:hRule="atLeast"/>
          <w:jc w:val="center"/>
        </w:trPr>
        <w:tc>
          <w:tcPr>
            <w:tcW w:w="9800" w:type="dxa"/>
            <w:gridSpan w:val="18"/>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评价组组长（签字）：</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22" w:hRule="atLeast"/>
          <w:jc w:val="center"/>
        </w:trPr>
        <w:tc>
          <w:tcPr>
            <w:tcW w:w="9800" w:type="dxa"/>
            <w:gridSpan w:val="18"/>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部门（单位）意见：</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部门（单位）负责人（签章）：</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94" w:hRule="atLeast"/>
          <w:jc w:val="center"/>
        </w:trPr>
        <w:tc>
          <w:tcPr>
            <w:tcW w:w="9800" w:type="dxa"/>
            <w:gridSpan w:val="18"/>
            <w:vAlign w:val="center"/>
          </w:tcPr>
          <w:p>
            <w:pPr>
              <w:spacing w:line="320" w:lineRule="exact"/>
              <w:rPr>
                <w:rFonts w:eastAsia="仿宋_GB2312"/>
                <w:sz w:val="24"/>
              </w:rPr>
            </w:pPr>
            <w:r>
              <w:rPr>
                <w:rFonts w:hint="eastAsia" w:eastAsia="仿宋_GB2312"/>
                <w:sz w:val="24"/>
              </w:rPr>
              <w:t>财政部门归口业务科室意见：</w:t>
            </w:r>
          </w:p>
          <w:p>
            <w:pPr>
              <w:spacing w:line="320" w:lineRule="exact"/>
              <w:rPr>
                <w:rFonts w:eastAsia="仿宋_GB2312"/>
                <w:sz w:val="24"/>
              </w:rPr>
            </w:pPr>
          </w:p>
          <w:p>
            <w:pPr>
              <w:spacing w:line="320" w:lineRule="exact"/>
              <w:rPr>
                <w:rFonts w:eastAsia="仿宋_GB2312"/>
                <w:sz w:val="24"/>
              </w:rPr>
            </w:pPr>
          </w:p>
          <w:p>
            <w:pPr>
              <w:spacing w:line="320" w:lineRule="exact"/>
              <w:rPr>
                <w:rFonts w:eastAsia="仿宋_GB2312"/>
                <w:sz w:val="24"/>
              </w:rPr>
            </w:pPr>
          </w:p>
          <w:p>
            <w:pPr>
              <w:spacing w:line="320" w:lineRule="exact"/>
              <w:rPr>
                <w:rFonts w:eastAsia="仿宋_GB2312"/>
                <w:sz w:val="24"/>
              </w:rPr>
            </w:pPr>
          </w:p>
          <w:p>
            <w:pPr>
              <w:spacing w:line="320" w:lineRule="exact"/>
              <w:rPr>
                <w:rFonts w:eastAsia="仿宋_GB2312"/>
                <w:sz w:val="24"/>
              </w:rPr>
            </w:pPr>
            <w:r>
              <w:rPr>
                <w:rFonts w:hint="eastAsia" w:eastAsia="仿宋_GB2312"/>
                <w:sz w:val="24"/>
              </w:rPr>
              <w:t xml:space="preserve">                                  财政部门归口业务科室负责人（签章）：</w:t>
            </w:r>
          </w:p>
          <w:p>
            <w:pPr>
              <w:autoSpaceDN w:val="0"/>
              <w:spacing w:line="320" w:lineRule="exact"/>
              <w:jc w:val="left"/>
              <w:textAlignment w:val="center"/>
              <w:rPr>
                <w:rFonts w:ascii="仿宋_GB2312" w:hAnsi="仿宋_GB2312" w:eastAsia="仿宋_GB2312" w:cs="仿宋_GB2312"/>
                <w:color w:val="000000"/>
                <w:sz w:val="24"/>
              </w:rPr>
            </w:pPr>
            <w:r>
              <w:rPr>
                <w:rFonts w:hint="eastAsia" w:eastAsia="仿宋_GB2312"/>
                <w:sz w:val="24"/>
              </w:rPr>
              <w:t xml:space="preserve">                                                                 年    月   日</w:t>
            </w:r>
          </w:p>
        </w:tc>
      </w:tr>
    </w:tbl>
    <w:p>
      <w:pPr>
        <w:rPr>
          <w:rFonts w:hint="default" w:eastAsia="仿宋_GB2312" w:cs="仿宋_GB2312"/>
          <w:bCs/>
          <w:sz w:val="28"/>
          <w:szCs w:val="28"/>
          <w:lang w:val="en-US" w:eastAsia="zh-CN"/>
        </w:rPr>
      </w:pPr>
      <w:r>
        <w:rPr>
          <w:rFonts w:hint="eastAsia" w:eastAsia="仿宋_GB2312" w:cs="仿宋_GB2312"/>
          <w:bCs/>
          <w:sz w:val="28"/>
          <w:szCs w:val="28"/>
        </w:rPr>
        <w:t>填报人（签名）：                          联系电话：</w:t>
      </w:r>
      <w:r>
        <w:rPr>
          <w:rFonts w:hint="eastAsia" w:eastAsia="仿宋_GB2312" w:cs="仿宋_GB2312"/>
          <w:bCs/>
          <w:sz w:val="28"/>
          <w:szCs w:val="28"/>
          <w:lang w:val="en-US" w:eastAsia="zh-CN"/>
        </w:rPr>
        <w:t>8859365</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8" w:hRule="atLeast"/>
          <w:jc w:val="center"/>
        </w:trPr>
        <w:tc>
          <w:tcPr>
            <w:tcW w:w="9558" w:type="dxa"/>
          </w:tcPr>
          <w:p>
            <w:pPr>
              <w:jc w:val="center"/>
              <w:rPr>
                <w:rFonts w:ascii="黑体" w:hAnsi="黑体" w:eastAsia="黑体" w:cs="黑体"/>
                <w:bCs/>
                <w:sz w:val="28"/>
                <w:szCs w:val="28"/>
              </w:rPr>
            </w:pPr>
            <w:r>
              <w:rPr>
                <w:rFonts w:hint="eastAsia" w:ascii="黑体" w:hAnsi="黑体" w:eastAsia="黑体" w:cs="黑体"/>
                <w:bCs/>
                <w:sz w:val="28"/>
                <w:szCs w:val="28"/>
              </w:rPr>
              <w:t>五、评价报告综述（文字部分）</w:t>
            </w:r>
          </w:p>
          <w:p>
            <w:pPr>
              <w:spacing w:line="440" w:lineRule="exact"/>
              <w:ind w:firstLine="640" w:firstLineChars="200"/>
              <w:rPr>
                <w:rFonts w:eastAsia="仿宋_GB2312"/>
                <w:sz w:val="32"/>
                <w:szCs w:val="32"/>
              </w:rPr>
            </w:pPr>
          </w:p>
          <w:p>
            <w:pPr>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rPr>
              <w:t>一、部门（单位）概况</w:t>
            </w:r>
          </w:p>
          <w:p>
            <w:pPr>
              <w:spacing w:line="560" w:lineRule="exact"/>
              <w:ind w:firstLine="560" w:firstLineChars="200"/>
              <w:rPr>
                <w:rFonts w:hint="default"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rPr>
              <w:t>（一）岳阳市森林公安局于2010年3月经中共岳阳市委机构编制委员会办公室（岳编办通【2010】13号）批准由事业编制置换为政法专项编制，内设5个职能科队、4个大队、2个警务站，核定编制数</w:t>
            </w:r>
            <w:r>
              <w:rPr>
                <w:rFonts w:hint="eastAsia" w:ascii="仿宋_GB2312" w:hAnsi="仿宋_GB2312" w:eastAsia="仿宋_GB2312" w:cs="仿宋_GB2312"/>
                <w:bCs/>
                <w:sz w:val="28"/>
                <w:szCs w:val="28"/>
                <w:lang w:val="en-US" w:eastAsia="zh-CN"/>
              </w:rPr>
              <w:t>34</w:t>
            </w:r>
            <w:r>
              <w:rPr>
                <w:rFonts w:hint="eastAsia" w:ascii="仿宋_GB2312" w:hAnsi="仿宋_GB2312" w:eastAsia="仿宋_GB2312" w:cs="仿宋_GB2312"/>
                <w:bCs/>
                <w:sz w:val="28"/>
                <w:szCs w:val="28"/>
              </w:rPr>
              <w:t>人。</w:t>
            </w:r>
            <w:r>
              <w:rPr>
                <w:rFonts w:hint="eastAsia" w:ascii="仿宋_GB2312" w:hAnsi="仿宋_GB2312" w:eastAsia="仿宋_GB2312" w:cs="仿宋_GB2312"/>
                <w:bCs/>
                <w:sz w:val="28"/>
                <w:szCs w:val="28"/>
                <w:lang w:val="en-US" w:eastAsia="zh-CN"/>
              </w:rPr>
              <w:t>2020年实有人数41人，在职人数34人，退休人员7人。在职人员控制率为100%。</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森林公安是国家林业部门和公安机关的重要组成部分，是具有武装性质的兼有刑事执法和行政执法职能的专门保护森林及野生动植物资源、保护生态安全、维护林区社会治安秩序的重要力量。</w:t>
            </w:r>
          </w:p>
          <w:p>
            <w:pPr>
              <w:spacing w:line="560" w:lineRule="exact"/>
              <w:ind w:firstLine="560" w:firstLineChars="200"/>
              <w:rPr>
                <w:rFonts w:hint="default" w:ascii="仿宋" w:hAnsi="仿宋" w:eastAsia="仿宋" w:cs="仿宋"/>
                <w:bCs/>
                <w:sz w:val="28"/>
                <w:szCs w:val="28"/>
                <w:lang w:val="en-US" w:eastAsia="zh-CN"/>
              </w:rPr>
            </w:pPr>
            <w:r>
              <w:rPr>
                <w:rFonts w:hint="eastAsia" w:ascii="仿宋_GB2312" w:hAnsi="仿宋_GB2312" w:eastAsia="仿宋_GB2312" w:cs="仿宋_GB2312"/>
                <w:bCs/>
                <w:sz w:val="28"/>
                <w:szCs w:val="28"/>
              </w:rPr>
              <w:t>森林公安实行双重管理领导的形式。组织干部、人事、党群关系由林业部门管理；业务工作接受公安部门领导</w:t>
            </w:r>
            <w:r>
              <w:rPr>
                <w:rFonts w:hint="eastAsia" w:ascii="仿宋_GB2312" w:hAnsi="仿宋_GB2312" w:eastAsia="仿宋_GB2312" w:cs="仿宋_GB2312"/>
                <w:bCs/>
                <w:sz w:val="28"/>
                <w:szCs w:val="28"/>
                <w:lang w:eastAsia="zh-CN"/>
              </w:rPr>
              <w:t>。</w:t>
            </w:r>
            <w:r>
              <w:rPr>
                <w:rFonts w:hint="eastAsia" w:ascii="仿宋_GB2312" w:hAnsi="仿宋_GB2312" w:eastAsia="仿宋_GB2312" w:cs="仿宋_GB2312"/>
                <w:bCs/>
                <w:sz w:val="28"/>
                <w:szCs w:val="28"/>
                <w:lang w:val="en-US" w:eastAsia="zh-CN"/>
              </w:rPr>
              <w:t>2020年10月进行机构划转，全部划归市公安局管理。</w:t>
            </w:r>
            <w:r>
              <w:rPr>
                <w:rFonts w:hint="eastAsia" w:ascii="仿宋_GB2312" w:hAnsi="仿宋_GB2312" w:eastAsia="仿宋_GB2312" w:cs="仿宋_GB2312"/>
                <w:bCs/>
                <w:sz w:val="28"/>
                <w:szCs w:val="28"/>
              </w:rPr>
              <w:t>工作经费由市级财政负担，中央及省级财政给予转移支付资金补助。</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（二）本单位年度支出合计</w:t>
            </w:r>
            <w:r>
              <w:rPr>
                <w:rFonts w:hint="eastAsia" w:ascii="仿宋_GB2312" w:hAnsi="仿宋_GB2312" w:eastAsia="仿宋_GB2312" w:cs="仿宋_GB2312"/>
                <w:bCs/>
                <w:sz w:val="28"/>
                <w:szCs w:val="28"/>
                <w:lang w:val="en-US" w:eastAsia="zh-CN"/>
              </w:rPr>
              <w:t>704.65</w:t>
            </w:r>
            <w:r>
              <w:rPr>
                <w:rFonts w:hint="eastAsia" w:ascii="仿宋_GB2312" w:hAnsi="仿宋_GB2312" w:eastAsia="仿宋_GB2312" w:cs="仿宋_GB2312"/>
                <w:bCs/>
                <w:sz w:val="28"/>
                <w:szCs w:val="28"/>
              </w:rPr>
              <w:t>万元，主要用于人员经费开支、办案开支及装备购置等。基本支出</w:t>
            </w:r>
            <w:r>
              <w:rPr>
                <w:rFonts w:hint="eastAsia" w:ascii="仿宋_GB2312" w:hAnsi="仿宋_GB2312" w:eastAsia="仿宋_GB2312" w:cs="仿宋_GB2312"/>
                <w:bCs/>
                <w:sz w:val="28"/>
                <w:szCs w:val="28"/>
                <w:lang w:val="en-US" w:eastAsia="zh-CN"/>
              </w:rPr>
              <w:t>653.4</w:t>
            </w:r>
            <w:r>
              <w:rPr>
                <w:rFonts w:hint="eastAsia" w:ascii="仿宋_GB2312" w:hAnsi="仿宋_GB2312" w:eastAsia="仿宋_GB2312" w:cs="仿宋_GB2312"/>
                <w:bCs/>
                <w:sz w:val="28"/>
                <w:szCs w:val="28"/>
              </w:rPr>
              <w:t>万元，</w:t>
            </w:r>
            <w:r>
              <w:rPr>
                <w:rFonts w:hint="eastAsia" w:ascii="仿宋_GB2312" w:hAnsi="仿宋_GB2312" w:eastAsia="仿宋_GB2312" w:cs="仿宋_GB2312"/>
                <w:bCs/>
                <w:sz w:val="28"/>
                <w:szCs w:val="28"/>
                <w:lang w:eastAsia="zh-CN"/>
              </w:rPr>
              <w:t>其中人员支出</w:t>
            </w:r>
            <w:r>
              <w:rPr>
                <w:rFonts w:hint="eastAsia" w:ascii="仿宋_GB2312" w:hAnsi="仿宋_GB2312" w:eastAsia="仿宋_GB2312" w:cs="仿宋_GB2312"/>
                <w:bCs/>
                <w:sz w:val="28"/>
                <w:szCs w:val="28"/>
                <w:lang w:val="en-US" w:eastAsia="zh-CN"/>
              </w:rPr>
              <w:t>563.06万元，公用支出90.34万元；</w:t>
            </w:r>
            <w:r>
              <w:rPr>
                <w:rFonts w:hint="eastAsia" w:ascii="仿宋_GB2312" w:hAnsi="仿宋_GB2312" w:eastAsia="仿宋_GB2312" w:cs="仿宋_GB2312"/>
                <w:bCs/>
                <w:sz w:val="28"/>
                <w:szCs w:val="28"/>
              </w:rPr>
              <w:t>项目支出</w:t>
            </w:r>
            <w:r>
              <w:rPr>
                <w:rFonts w:hint="eastAsia" w:ascii="仿宋_GB2312" w:hAnsi="仿宋_GB2312" w:eastAsia="仿宋_GB2312" w:cs="仿宋_GB2312"/>
                <w:bCs/>
                <w:sz w:val="28"/>
                <w:szCs w:val="28"/>
                <w:lang w:val="en-US" w:eastAsia="zh-CN"/>
              </w:rPr>
              <w:t>51.25</w:t>
            </w:r>
            <w:r>
              <w:rPr>
                <w:rFonts w:hint="eastAsia" w:ascii="仿宋_GB2312" w:hAnsi="仿宋_GB2312" w:eastAsia="仿宋_GB2312" w:cs="仿宋_GB2312"/>
                <w:bCs/>
                <w:sz w:val="28"/>
                <w:szCs w:val="28"/>
              </w:rPr>
              <w:t>万元。</w:t>
            </w:r>
          </w:p>
          <w:p>
            <w:pPr>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rPr>
              <w:t>二、部门（单位）整体支出管理及使用情况</w:t>
            </w:r>
          </w:p>
          <w:p>
            <w:pPr>
              <w:spacing w:line="560" w:lineRule="exact"/>
              <w:ind w:firstLine="560" w:firstLineChars="200"/>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（一）基本支出</w:t>
            </w:r>
          </w:p>
          <w:p>
            <w:pPr>
              <w:spacing w:line="560" w:lineRule="exact"/>
              <w:ind w:firstLine="560" w:firstLineChars="200"/>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本单位基本支出主要为人员经费和公用经费。其中人员经费共使用563.06万元，公用经费共使用90.34万元。人员经费主要用于在职人员基本工资、津贴补贴和奖金的发放，社会保险的缴费；公用经费主要是维持局机关的正常运转，包括办公费、物业管理费、差旅费、维修费、三公经费和办公设备购置等。</w:t>
            </w:r>
          </w:p>
          <w:p>
            <w:pPr>
              <w:spacing w:line="560" w:lineRule="exact"/>
              <w:ind w:firstLine="560" w:firstLineChars="200"/>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三公”经费使用情况：2020年三公经费财政拨款支出预算为18万元，支出决算数为7.28万元，其中：因公出国（境）费支出决算为0万元；公务用车购置及运行费支出决算为5.02万元；公务接待费支出决算为2.26万元。2020年“三公经费”较2019年支出数下降了7.09万元，下降率为49.34%。原因是厉行节俭，严禁铺张浪费，严格把控“三公”经费支出。</w:t>
            </w:r>
            <w:bookmarkStart w:id="0" w:name="_GoBack"/>
            <w:bookmarkEnd w:id="0"/>
          </w:p>
          <w:p>
            <w:pPr>
              <w:spacing w:line="560" w:lineRule="exact"/>
              <w:ind w:firstLine="560" w:firstLineChars="200"/>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资产管理情况：2020年末本单位实有资产总额为114.76万元，主要由以下两部分构成： 流动资产41.81万元,占资产总额的36.43%,主要为银行存款及财政应返还额度；固定资产72.95万元,占资产总额的63.57%，主要包括专用设备、办公设备、家具用具、汽车。本单位资产使用状况良好。</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（二）专项支出</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1、专项资金安排落实、总投入等情况分析</w:t>
            </w:r>
          </w:p>
          <w:p>
            <w:pPr>
              <w:spacing w:line="560" w:lineRule="exact"/>
              <w:ind w:firstLine="560" w:firstLineChars="200"/>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 xml:space="preserve">项目支出安排经费45.25万元，以中央和省级森林公安补助资金，以及市财政公安专项资金为主。资金到位率100%。 </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2、专项资金实际使用情况分析</w:t>
            </w:r>
          </w:p>
          <w:p>
            <w:pPr>
              <w:spacing w:line="560" w:lineRule="exact"/>
              <w:ind w:firstLine="560" w:firstLineChars="200"/>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 xml:space="preserve">截止报告期末，专项资金共支出经费45.25万元。项目支出主要用于民警执法办案所需开支，如办案差旅费开支、印刷费开支，以及警用设备购置与更新。资金使用与项目内容高度吻合。 </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3、专项资金管理情况分析</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lang w:val="en-US" w:eastAsia="zh-CN"/>
              </w:rPr>
              <w:t>项目经费严格按照政府采购制度、单位的财务制度和预算计划安排使用。由市财政局审批、国库支付局核算，按照项目计划安排和实际工作情况开支，做到专款专用、不挪用，不挤占。本单位加强专项资金管理使用，提高财政资金使用效益和资金安全。</w:t>
            </w:r>
          </w:p>
          <w:p>
            <w:pPr>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rPr>
              <w:t>三、部门（单位）专项组织实施情况</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（一）专项组织情况分析</w:t>
            </w:r>
          </w:p>
          <w:p>
            <w:pPr>
              <w:spacing w:line="560" w:lineRule="exact"/>
              <w:ind w:firstLine="560" w:firstLineChars="200"/>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本单位设定的预算绩效目标和工作计划均从2020年初开始实施，并于2020年底完成年度绩效目标。</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（二）专项管理情况分析</w:t>
            </w:r>
          </w:p>
          <w:p>
            <w:pPr>
              <w:spacing w:line="560" w:lineRule="exact"/>
              <w:ind w:firstLine="560" w:firstLineChars="200"/>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本单位健全专项资金管理制度，所有项目依法依规进行市财政转移支付或授权支付，保证了项目资金专款专用;严格专项资金申请拨付审批。依据工作任务进度和年初预算，及时办理专项资金的申请、拨付等审批手续。</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lang w:val="en-US" w:eastAsia="zh-CN"/>
              </w:rPr>
              <w:t>项目实施部门报送项目资金申请，分管领导签字审批后，报送市财政局申请项目资金，并按有关规定，实行国库集中转移支付。</w:t>
            </w:r>
          </w:p>
          <w:p>
            <w:pPr>
              <w:spacing w:line="560" w:lineRule="exact"/>
              <w:ind w:firstLine="560" w:firstLineChars="200"/>
              <w:rPr>
                <w:rFonts w:hint="eastAsia" w:ascii="黑体" w:hAnsi="黑体" w:eastAsia="黑体" w:cs="黑体"/>
                <w:bCs/>
                <w:sz w:val="28"/>
                <w:szCs w:val="28"/>
              </w:rPr>
            </w:pPr>
            <w:r>
              <w:rPr>
                <w:rFonts w:hint="eastAsia" w:ascii="黑体" w:hAnsi="黑体" w:eastAsia="黑体" w:cs="黑体"/>
                <w:bCs/>
                <w:sz w:val="28"/>
                <w:szCs w:val="28"/>
              </w:rPr>
              <w:t>四、部门（单位）整体支出绩效情况</w:t>
            </w:r>
          </w:p>
          <w:p>
            <w:pPr>
              <w:spacing w:line="560" w:lineRule="exact"/>
              <w:ind w:firstLine="560" w:firstLineChars="200"/>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一）狠抓队伍建设，不断强化队伍战斗力。开展政治学习，加强思想政治建设。深入学习宣传贯彻党的十九大精神，认真领会报告的精神实质和丰富内涵，切实把思想和行动统一到十九大精神上来，不忘初心、砥砺前行。</w:t>
            </w:r>
          </w:p>
          <w:p>
            <w:pPr>
              <w:spacing w:line="560" w:lineRule="exact"/>
              <w:ind w:firstLine="560" w:firstLineChars="200"/>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二）认真履行职责，全力维护林区社会稳定。全年刑事案件立案数量122起，刑事拘留人次53人。开展数次专项行动，打击乱砍滥伐和破坏野生动物行为。全年完成一般罚没收入92.81万元。有力打击了破坏野生动物资源和乱捕滥猎野生动物的行为，维护了生态安全，有力促进生态文明发展。</w:t>
            </w:r>
          </w:p>
          <w:p>
            <w:pPr>
              <w:spacing w:line="560" w:lineRule="exact"/>
              <w:ind w:firstLine="560" w:firstLineChars="200"/>
              <w:rPr>
                <w:rFonts w:hint="eastAsia" w:ascii="黑体" w:hAnsi="黑体" w:eastAsia="黑体" w:cs="黑体"/>
                <w:bCs/>
                <w:sz w:val="28"/>
                <w:szCs w:val="28"/>
              </w:rPr>
            </w:pPr>
            <w:r>
              <w:rPr>
                <w:rFonts w:hint="eastAsia" w:ascii="仿宋" w:hAnsi="仿宋" w:eastAsia="仿宋" w:cs="仿宋"/>
                <w:color w:val="333333"/>
                <w:sz w:val="28"/>
                <w:szCs w:val="28"/>
                <w:lang w:val="en-US" w:eastAsia="zh-CN"/>
              </w:rPr>
              <w:t>（</w:t>
            </w:r>
            <w:r>
              <w:rPr>
                <w:rFonts w:hint="eastAsia" w:ascii="仿宋_GB2312" w:hAnsi="仿宋_GB2312" w:eastAsia="仿宋_GB2312" w:cs="仿宋_GB2312"/>
                <w:bCs/>
                <w:sz w:val="28"/>
                <w:szCs w:val="28"/>
                <w:lang w:val="en-US" w:eastAsia="zh-CN"/>
              </w:rPr>
              <w:t>三）认真抓好森林火灾防控落实，保障人民群众生命财产安全。2020年森林火灾受害率为0.036‰，为做好森林防火宣传教育，全年进行了多次森林防火宣传教育活动，单位下属各大队民警加强区、街道森林防火宣传巡逻力度，印刷、悬挂森林防火宣传标语，制作防火警示宣传牌，印刷发放防火教育宣传单，开展森林防火宣讲培训，宣传森林防火基本常识、法律法规和森林防火的重要性。</w:t>
            </w:r>
          </w:p>
          <w:p>
            <w:pPr>
              <w:spacing w:line="560" w:lineRule="exact"/>
              <w:ind w:firstLine="560" w:firstLineChars="200"/>
              <w:rPr>
                <w:rFonts w:hint="eastAsia" w:ascii="黑体" w:hAnsi="黑体" w:eastAsia="黑体" w:cs="黑体"/>
                <w:bCs/>
                <w:sz w:val="28"/>
                <w:szCs w:val="28"/>
              </w:rPr>
            </w:pPr>
            <w:r>
              <w:rPr>
                <w:rFonts w:hint="eastAsia" w:ascii="黑体" w:hAnsi="黑体" w:eastAsia="黑体" w:cs="黑体"/>
                <w:bCs/>
                <w:sz w:val="28"/>
                <w:szCs w:val="28"/>
              </w:rPr>
              <w:t>五、存在的主要问题</w:t>
            </w:r>
          </w:p>
          <w:p>
            <w:pPr>
              <w:spacing w:line="560" w:lineRule="exact"/>
              <w:ind w:firstLine="560" w:firstLineChars="200"/>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（一）预算编制工作有待细化。预算编制合理性有待提高，执行力度需要进一步加强。</w:t>
            </w:r>
          </w:p>
          <w:p>
            <w:pPr>
              <w:spacing w:line="560" w:lineRule="exact"/>
              <w:ind w:firstLine="560" w:firstLineChars="200"/>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（二）预算经费不足</w:t>
            </w:r>
            <w:r>
              <w:rPr>
                <w:rFonts w:hint="eastAsia" w:ascii="仿宋_GB2312" w:hAnsi="仿宋" w:eastAsia="仿宋_GB2312" w:cs="宋体"/>
                <w:color w:val="000000"/>
                <w:kern w:val="0"/>
                <w:sz w:val="28"/>
                <w:szCs w:val="28"/>
              </w:rPr>
              <w:t>，</w:t>
            </w:r>
            <w:r>
              <w:rPr>
                <w:rFonts w:hint="eastAsia" w:ascii="仿宋_GB2312" w:hAnsi="仿宋" w:eastAsia="仿宋_GB2312" w:cs="宋体"/>
                <w:color w:val="000000"/>
                <w:kern w:val="0"/>
                <w:sz w:val="28"/>
                <w:szCs w:val="28"/>
                <w:lang w:eastAsia="zh-CN"/>
              </w:rPr>
              <w:t>办案成本增加，需要经常</w:t>
            </w:r>
            <w:r>
              <w:rPr>
                <w:rFonts w:hint="eastAsia" w:ascii="仿宋_GB2312" w:hAnsi="仿宋" w:eastAsia="仿宋_GB2312" w:cs="宋体"/>
                <w:color w:val="000000"/>
                <w:kern w:val="0"/>
                <w:sz w:val="28"/>
                <w:szCs w:val="28"/>
              </w:rPr>
              <w:t>通过公用经费弥补业务经费</w:t>
            </w:r>
            <w:r>
              <w:rPr>
                <w:rFonts w:hint="eastAsia" w:ascii="仿宋_GB2312" w:hAnsi="仿宋" w:eastAsia="仿宋_GB2312" w:cs="宋体"/>
                <w:color w:val="000000"/>
                <w:kern w:val="0"/>
                <w:sz w:val="28"/>
                <w:szCs w:val="28"/>
                <w:lang w:eastAsia="zh-CN"/>
              </w:rPr>
              <w:t>和人员经费</w:t>
            </w:r>
            <w:r>
              <w:rPr>
                <w:rFonts w:hint="eastAsia" w:ascii="仿宋_GB2312" w:hAnsi="仿宋" w:eastAsia="仿宋_GB2312" w:cs="宋体"/>
                <w:color w:val="000000"/>
                <w:kern w:val="0"/>
                <w:sz w:val="28"/>
                <w:szCs w:val="28"/>
              </w:rPr>
              <w:t>的不足。</w:t>
            </w:r>
          </w:p>
          <w:p>
            <w:pPr>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rPr>
              <w:t>六、改进措施和有关建议</w:t>
            </w:r>
          </w:p>
          <w:p>
            <w:pPr>
              <w:spacing w:line="560" w:lineRule="exact"/>
              <w:ind w:firstLine="560" w:firstLineChars="200"/>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一）细化预算编制工作，认真做好预算的编制。全面编制预算项目，优先保障固定的、相对刚性的费用支出项目，进一步提高预算编制的科学性、严谨性和可控性。加强内部预算编制的审核和预算控制指标的下达。</w:t>
            </w:r>
          </w:p>
          <w:p>
            <w:pPr>
              <w:spacing w:line="560" w:lineRule="exact"/>
              <w:ind w:firstLine="560" w:firstLineChars="200"/>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（二）加强财务管理，严格财务审核。加强单位财务管理，健全单位财务管理制度体系，规范单位财务行为。</w:t>
            </w:r>
          </w:p>
          <w:p>
            <w:pPr>
              <w:spacing w:line="560" w:lineRule="exact"/>
              <w:ind w:firstLine="560" w:firstLineChars="200"/>
              <w:rPr>
                <w:rFonts w:hint="default"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三）完善资产管理，抓好“三公”经费控制。严格编制政府采购年初预算和计划，规范各类资产的购置审批制度、资产采购制度、使用管理制度、资产处置和报废审批制度，加强单位内部的资产管理工作。细化“三公”经费的管理，合理压缩“三公”经费支出。</w:t>
            </w:r>
          </w:p>
        </w:tc>
      </w:tr>
    </w:tbl>
    <w:p>
      <w:pPr>
        <w:spacing w:beforeLines="100" w:afterLines="100"/>
        <w:jc w:val="center"/>
        <w:rPr>
          <w:rFonts w:ascii="方正小标宋简体" w:eastAsia="方正小标宋简体"/>
          <w:sz w:val="38"/>
          <w:szCs w:val="38"/>
        </w:rPr>
      </w:pPr>
      <w:r>
        <w:rPr>
          <w:rFonts w:hint="eastAsia" w:ascii="方正小标宋简体" w:eastAsia="方正小标宋简体"/>
          <w:sz w:val="38"/>
          <w:szCs w:val="38"/>
        </w:rPr>
        <w:t>部门整体支出绩效评价评分表</w:t>
      </w:r>
    </w:p>
    <w:tbl>
      <w:tblPr>
        <w:tblStyle w:val="4"/>
        <w:tblW w:w="0" w:type="auto"/>
        <w:jc w:val="center"/>
        <w:tblLayout w:type="fixed"/>
        <w:tblCellMar>
          <w:top w:w="0" w:type="dxa"/>
          <w:left w:w="108" w:type="dxa"/>
          <w:bottom w:w="0" w:type="dxa"/>
          <w:right w:w="108" w:type="dxa"/>
        </w:tblCellMar>
      </w:tblPr>
      <w:tblGrid>
        <w:gridCol w:w="976"/>
        <w:gridCol w:w="939"/>
        <w:gridCol w:w="1389"/>
        <w:gridCol w:w="4171"/>
        <w:gridCol w:w="619"/>
        <w:gridCol w:w="720"/>
        <w:gridCol w:w="1080"/>
      </w:tblGrid>
      <w:tr>
        <w:tblPrEx>
          <w:tblCellMar>
            <w:top w:w="0" w:type="dxa"/>
            <w:left w:w="108" w:type="dxa"/>
            <w:bottom w:w="0" w:type="dxa"/>
            <w:right w:w="108" w:type="dxa"/>
          </w:tblCellMar>
        </w:tblPrEx>
        <w:trPr>
          <w:trHeight w:val="725" w:hRule="atLeast"/>
          <w:jc w:val="center"/>
        </w:trPr>
        <w:tc>
          <w:tcPr>
            <w:tcW w:w="9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spacing w:val="-10"/>
                <w:kern w:val="0"/>
                <w:sz w:val="18"/>
                <w:szCs w:val="18"/>
              </w:rPr>
            </w:pPr>
            <w:r>
              <w:rPr>
                <w:rFonts w:hint="eastAsia" w:ascii="仿宋_GB2312" w:hAnsi="宋体" w:eastAsia="仿宋_GB2312" w:cs="宋体"/>
                <w:b/>
                <w:bCs/>
                <w:spacing w:val="-10"/>
                <w:kern w:val="0"/>
                <w:sz w:val="18"/>
                <w:szCs w:val="18"/>
              </w:rPr>
              <w:t>扣分原因和其他说明</w:t>
            </w:r>
          </w:p>
        </w:tc>
      </w:tr>
      <w:tr>
        <w:tblPrEx>
          <w:tblCellMar>
            <w:top w:w="0" w:type="dxa"/>
            <w:left w:w="108" w:type="dxa"/>
            <w:bottom w:w="0" w:type="dxa"/>
            <w:right w:w="108" w:type="dxa"/>
          </w:tblCellMar>
        </w:tblPrEx>
        <w:trPr>
          <w:trHeight w:val="559"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投  入</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预算配置</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财政供养人员</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以100%为标准。在职人员控制率</w:t>
            </w:r>
            <w:r>
              <w:rPr>
                <w:rFonts w:hint="eastAsia" w:ascii="宋体" w:hAnsi="宋体" w:cs="宋体"/>
                <w:kern w:val="0"/>
                <w:sz w:val="18"/>
                <w:szCs w:val="18"/>
              </w:rPr>
              <w:t>≦</w:t>
            </w:r>
            <w:r>
              <w:rPr>
                <w:rFonts w:hint="eastAsia" w:ascii="仿宋_GB2312" w:hAnsi="宋体" w:eastAsia="仿宋_GB2312" w:cs="宋体"/>
                <w:kern w:val="0"/>
                <w:sz w:val="18"/>
                <w:szCs w:val="18"/>
              </w:rPr>
              <w:t>100%，计5分；每超过一个百分点扣0.5分，扣完为止。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5</w:t>
            </w:r>
          </w:p>
        </w:tc>
        <w:tc>
          <w:tcPr>
            <w:tcW w:w="108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8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变动率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“三公经费”变动率</w:t>
            </w:r>
            <w:r>
              <w:rPr>
                <w:rFonts w:hint="eastAsia" w:ascii="宋体" w:hAnsi="宋体" w:cs="宋体"/>
                <w:kern w:val="0"/>
                <w:sz w:val="18"/>
                <w:szCs w:val="18"/>
              </w:rPr>
              <w:t>≦</w:t>
            </w:r>
            <w:r>
              <w:rPr>
                <w:rFonts w:hint="eastAsia" w:ascii="仿宋_GB2312" w:hAnsi="宋体" w:eastAsia="仿宋_GB2312" w:cs="宋体"/>
                <w:kern w:val="0"/>
                <w:sz w:val="18"/>
                <w:szCs w:val="18"/>
              </w:rPr>
              <w:t>0,计5分；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“三公经费”＞0，每超过一个百分点扣0.5分，扣完为止。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5</w:t>
            </w:r>
          </w:p>
        </w:tc>
        <w:tc>
          <w:tcPr>
            <w:tcW w:w="108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37"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重点支出</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安排率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重点支出安排率≥90%，计5分；80%（含）-90%，计4分；70%（含）-80%，计3分；60%（含）-70%，计2分；低于60%不得分。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5</w:t>
            </w:r>
          </w:p>
        </w:tc>
        <w:tc>
          <w:tcPr>
            <w:tcW w:w="108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76"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过  程</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（40分）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预算执行</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预算调整率=0，计3分；0-10%（含），计2分；10-20%（含），计1分；20-30%（含），计0.5分；大于30%不得分。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039"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支付进度</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春节前下达全部专项资金的50%；6月底前所有专项资金指标全部下达完。</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每出现一个专项未按进度完成资金下达扣0.5分，扣完为止。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619"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资金结余</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无结余，3分；有结余，但不超过上年结转，2分；结余超过上年结转，不得分。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2</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 w:val="18"/>
                <w:szCs w:val="18"/>
                <w:lang w:eastAsia="zh-CN"/>
              </w:rPr>
            </w:pPr>
            <w:r>
              <w:rPr>
                <w:rFonts w:hint="eastAsia" w:ascii="仿宋_GB2312" w:hAnsi="宋体" w:eastAsia="仿宋_GB2312" w:cs="宋体"/>
                <w:color w:val="000000"/>
                <w:kern w:val="0"/>
                <w:sz w:val="18"/>
                <w:szCs w:val="18"/>
                <w:lang w:eastAsia="zh-CN"/>
              </w:rPr>
              <w:t>有结余，但不超过上年结转</w:t>
            </w:r>
          </w:p>
        </w:tc>
      </w:tr>
      <w:tr>
        <w:tblPrEx>
          <w:tblCellMar>
            <w:top w:w="0" w:type="dxa"/>
            <w:left w:w="108" w:type="dxa"/>
            <w:bottom w:w="0" w:type="dxa"/>
            <w:right w:w="108" w:type="dxa"/>
          </w:tblCellMar>
        </w:tblPrEx>
        <w:trPr>
          <w:trHeight w:val="615"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以100%为标准。三公经费控制率</w:t>
            </w:r>
            <w:r>
              <w:rPr>
                <w:rFonts w:hint="eastAsia" w:ascii="宋体" w:hAnsi="宋体" w:cs="宋体"/>
                <w:kern w:val="0"/>
                <w:sz w:val="18"/>
                <w:szCs w:val="18"/>
              </w:rPr>
              <w:t>≦</w:t>
            </w:r>
            <w:r>
              <w:rPr>
                <w:rFonts w:hint="eastAsia" w:ascii="仿宋_GB2312" w:hAnsi="宋体" w:eastAsia="仿宋_GB2312" w:cs="宋体"/>
                <w:kern w:val="0"/>
                <w:sz w:val="18"/>
                <w:szCs w:val="18"/>
              </w:rPr>
              <w:t>100%，计6分；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每超过一个百分点扣1分，扣完为止。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6</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6</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915"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管理制度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①已制定或具有预算资金管理办法，内部财务管理制度、会计核算制度等管理制度，1分；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②相关管理制度合法、合规、完整，1分；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③相关管理制度得到有效执行，1分。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802"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资金使用</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合规性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①支出符合国家财经法规和财务管理制度规定以及有关专项资金管理办法的规定；</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②资金拨付有完整的审批程序和手续；</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③项目支出按规定经过评估论证；</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④支出符合部门预算批复的用途；</w:t>
            </w:r>
            <w:r>
              <w:rPr>
                <w:rFonts w:hint="eastAsia" w:ascii="仿宋_GB2312" w:hAnsi="宋体" w:eastAsia="仿宋_GB2312" w:cs="宋体"/>
                <w:kern w:val="0"/>
                <w:sz w:val="18"/>
                <w:szCs w:val="18"/>
              </w:rPr>
              <w:br w:type="textWrapping"/>
            </w:r>
            <w:r>
              <w:rPr>
                <w:rFonts w:hint="eastAsia" w:ascii="仿宋_GB2312" w:hAnsi="宋体" w:eastAsia="仿宋_GB2312" w:cs="宋体"/>
                <w:spacing w:val="-6"/>
                <w:kern w:val="0"/>
                <w:sz w:val="18"/>
                <w:szCs w:val="18"/>
              </w:rPr>
              <w:t>⑤资金使用无截留、挤占、挪用、虚列支出等情况。</w:t>
            </w:r>
            <w:r>
              <w:rPr>
                <w:rFonts w:hint="eastAsia" w:ascii="仿宋_GB2312" w:hAnsi="宋体" w:eastAsia="仿宋_GB2312" w:cs="宋体"/>
                <w:spacing w:val="-6"/>
                <w:kern w:val="0"/>
                <w:sz w:val="18"/>
                <w:szCs w:val="18"/>
              </w:rPr>
              <w:br w:type="textWrapping"/>
            </w:r>
            <w:r>
              <w:rPr>
                <w:rFonts w:hint="eastAsia" w:ascii="仿宋_GB2312" w:hAnsi="宋体" w:eastAsia="仿宋_GB2312" w:cs="宋体"/>
                <w:spacing w:val="-6"/>
                <w:kern w:val="0"/>
                <w:sz w:val="18"/>
                <w:szCs w:val="18"/>
              </w:rPr>
              <w:t>以上情况每出现一例不符合要求的扣1分，扣完为止。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45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预决算信息公开性和完善性</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①按规定内容公开预决算信息，1分；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②按规定时限公开预决算信息，0.5分；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③基础数据信息和会计信息资料真实，0.5分；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④基础数据信息和会计信息资料完整，0.5分；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⑤基础数据信息和汇集信息资料准确，0.5分。                                            </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57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政府采购</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执行率</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政府采购执行率等于100%的，得3分；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每减少一个百分点，扣0.2分，扣完为止。</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3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公务卡刷卡率达50％以上的，得3分。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每减少一个百分点，扣0.2分，扣完为止。                                            </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35"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（10分）</w:t>
            </w: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管理制度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①已制定或具有资产管理制度，且相关资产管理制度合法、合规、完整，2分；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②相关资产管理制度得到有效执行，1分。                                           </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bl>
    <w:p/>
    <w:tbl>
      <w:tblPr>
        <w:tblStyle w:val="4"/>
        <w:tblW w:w="0" w:type="auto"/>
        <w:jc w:val="center"/>
        <w:tblLayout w:type="fixed"/>
        <w:tblCellMar>
          <w:top w:w="0" w:type="dxa"/>
          <w:left w:w="108" w:type="dxa"/>
          <w:bottom w:w="0" w:type="dxa"/>
          <w:right w:w="108" w:type="dxa"/>
        </w:tblCellMar>
      </w:tblPr>
      <w:tblGrid>
        <w:gridCol w:w="976"/>
        <w:gridCol w:w="939"/>
        <w:gridCol w:w="1389"/>
        <w:gridCol w:w="4171"/>
        <w:gridCol w:w="619"/>
        <w:gridCol w:w="720"/>
        <w:gridCol w:w="1080"/>
      </w:tblGrid>
      <w:tr>
        <w:tblPrEx>
          <w:tblCellMar>
            <w:top w:w="0" w:type="dxa"/>
            <w:left w:w="108" w:type="dxa"/>
            <w:bottom w:w="0" w:type="dxa"/>
            <w:right w:w="108" w:type="dxa"/>
          </w:tblCellMar>
        </w:tblPrEx>
        <w:trPr>
          <w:trHeight w:val="609" w:hRule="atLeast"/>
          <w:jc w:val="center"/>
        </w:trPr>
        <w:tc>
          <w:tcPr>
            <w:tcW w:w="9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spacing w:val="-12"/>
                <w:kern w:val="0"/>
                <w:sz w:val="18"/>
                <w:szCs w:val="18"/>
              </w:rPr>
            </w:pPr>
            <w:r>
              <w:rPr>
                <w:rFonts w:hint="eastAsia" w:ascii="仿宋_GB2312" w:hAnsi="宋体" w:eastAsia="仿宋_GB2312" w:cs="宋体"/>
                <w:b/>
                <w:bCs/>
                <w:spacing w:val="-12"/>
                <w:kern w:val="0"/>
                <w:sz w:val="18"/>
                <w:szCs w:val="18"/>
              </w:rPr>
              <w:t>扣分原因和其他说明</w:t>
            </w:r>
          </w:p>
        </w:tc>
      </w:tr>
      <w:tr>
        <w:tblPrEx>
          <w:tblCellMar>
            <w:top w:w="0" w:type="dxa"/>
            <w:left w:w="108" w:type="dxa"/>
            <w:bottom w:w="0" w:type="dxa"/>
            <w:right w:w="108" w:type="dxa"/>
          </w:tblCellMar>
        </w:tblPrEx>
        <w:trPr>
          <w:trHeight w:val="2011" w:hRule="atLeast"/>
          <w:jc w:val="center"/>
        </w:trPr>
        <w:tc>
          <w:tcPr>
            <w:tcW w:w="97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过  程</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（40分）</w:t>
            </w:r>
          </w:p>
        </w:tc>
        <w:tc>
          <w:tcPr>
            <w:tcW w:w="93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（10分）</w:t>
            </w:r>
          </w:p>
        </w:tc>
        <w:tc>
          <w:tcPr>
            <w:tcW w:w="138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安全性</w:t>
            </w:r>
          </w:p>
        </w:tc>
        <w:tc>
          <w:tcPr>
            <w:tcW w:w="417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①资产保存完整；</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②资产配置合理；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③资产处置规范； </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④资产账务管理合规，帐实相符；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⑤资产有偿使用及处置收入及时足额上缴；</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以上情况每出现一例不符合有关要求的扣1分，扣完为止。</w:t>
            </w:r>
          </w:p>
        </w:tc>
        <w:tc>
          <w:tcPr>
            <w:tcW w:w="61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4</w:t>
            </w: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74"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固定资产</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利用率</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每低于100%一个百分点扣0.1分，扣完为止。</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  出（25分）</w:t>
            </w:r>
          </w:p>
        </w:tc>
        <w:tc>
          <w:tcPr>
            <w:tcW w:w="93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职责履行</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（25分）</w:t>
            </w: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推进全面小康建设指标任务完成情况</w:t>
            </w:r>
          </w:p>
        </w:tc>
        <w:tc>
          <w:tcPr>
            <w:tcW w:w="4171"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此项指标根据《中共岳阳市委 岳阳市人民政府 关于做好岳阳市加快推进湖南发展新增长极建设2015年度综合绩效考评工作的通知》（岳发〔2015〕11号）和《中共岳阳市委 岳阳市人民政府 关于做好2015年度综合绩效考评工作的补充通知》（岳发〔2015〕19号）附件2第一大项“工作实绩指标”（700分）考核内容设置。</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部门单位应根据部门实际进行调整，并将其细化成相应的个性化指标。</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建设湖南新增极目标任务完成情况</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7</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default"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7</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《政府工作报告》目标任务完成情况</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8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省市重点民生实事完成情况</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default"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2</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省市重点工程和重大项目建设完成情况</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default"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2</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8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其他工作实绩指标完成情况</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default"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4</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00" w:hRule="atLeast"/>
          <w:jc w:val="center"/>
        </w:trPr>
        <w:tc>
          <w:tcPr>
            <w:tcW w:w="97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效  果</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（20分）</w:t>
            </w:r>
          </w:p>
        </w:tc>
        <w:tc>
          <w:tcPr>
            <w:tcW w:w="93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履职效益</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（20分）</w:t>
            </w: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经济效益</w:t>
            </w:r>
          </w:p>
        </w:tc>
        <w:tc>
          <w:tcPr>
            <w:tcW w:w="4171"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此三项指标为设置部门整体支出绩效评价指标时必须考虑的共性要素。</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部门单位应根据部门实际并结合部门整体支出绩效目标设立情况有选择的进行设置，并将其细化为相应的个性化指标。</w:t>
            </w:r>
          </w:p>
        </w:tc>
        <w:tc>
          <w:tcPr>
            <w:tcW w:w="61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社会效益</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生态效益</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1113"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社会公众或服务对象满意度</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95%（含）以上计5分；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85%（含）-95%，计3分；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75%（含）-85%，计1分；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低于75%计0分。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70" w:hRule="atLeast"/>
          <w:jc w:val="center"/>
        </w:trPr>
        <w:tc>
          <w:tcPr>
            <w:tcW w:w="976"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总 分</w:t>
            </w:r>
          </w:p>
        </w:tc>
        <w:tc>
          <w:tcPr>
            <w:tcW w:w="93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4171"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spacing w:val="-8"/>
                <w:kern w:val="0"/>
                <w:sz w:val="18"/>
                <w:szCs w:val="18"/>
              </w:rPr>
            </w:pPr>
            <w:r>
              <w:rPr>
                <w:rFonts w:hint="eastAsia" w:ascii="仿宋_GB2312" w:hAnsi="宋体" w:eastAsia="仿宋_GB2312" w:cs="宋体"/>
                <w:b/>
                <w:bCs/>
                <w:spacing w:val="-8"/>
                <w:kern w:val="0"/>
                <w:sz w:val="18"/>
                <w:szCs w:val="18"/>
              </w:rPr>
              <w:t>100</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b/>
                <w:bCs/>
                <w:kern w:val="0"/>
                <w:sz w:val="18"/>
                <w:szCs w:val="18"/>
                <w:lang w:val="en-US" w:eastAsia="zh-CN"/>
              </w:rPr>
            </w:pPr>
            <w:r>
              <w:rPr>
                <w:rFonts w:hint="eastAsia" w:ascii="仿宋_GB2312" w:hAnsi="宋体" w:eastAsia="仿宋_GB2312" w:cs="宋体"/>
                <w:b/>
                <w:bCs/>
                <w:kern w:val="0"/>
                <w:sz w:val="18"/>
                <w:szCs w:val="18"/>
                <w:lang w:val="en-US" w:eastAsia="zh-CN"/>
              </w:rPr>
              <w:t>99</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r>
    </w:tbl>
    <w:p>
      <w:pPr>
        <w:spacing w:beforeLines="50"/>
        <w:rPr>
          <w:rFonts w:ascii="仿宋_GB2312" w:hAnsi="宋体" w:eastAsia="仿宋_GB2312" w:cs="宋体"/>
          <w:kern w:val="0"/>
          <w:szCs w:val="21"/>
        </w:rPr>
      </w:pPr>
      <w:r>
        <w:rPr>
          <w:rFonts w:hint="eastAsia" w:ascii="仿宋_GB2312" w:hAnsi="宋体" w:eastAsia="仿宋_GB2312" w:cs="宋体"/>
          <w:kern w:val="0"/>
          <w:szCs w:val="21"/>
        </w:rPr>
        <w:t>备注：如部门（单位）根据本部门实际情况修改调整了附件3《部门整体支出绩效评价指标体系（参考样表）》，须相应修改调整本表中的对应部分。</w:t>
      </w:r>
    </w:p>
    <w:p>
      <w:pPr>
        <w:jc w:val="both"/>
        <w:rPr>
          <w:rFonts w:hint="eastAsia" w:eastAsia="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小标宋简体">
    <w:altName w:val="Arial Unicode MS"/>
    <w:panose1 w:val="02010601030101010101"/>
    <w:charset w:val="86"/>
    <w:family w:val="auto"/>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C942156"/>
    <w:rsid w:val="1FF930DB"/>
    <w:rsid w:val="3227250D"/>
    <w:rsid w:val="48B56ACF"/>
    <w:rsid w:val="4D393E27"/>
    <w:rsid w:val="5C942156"/>
    <w:rsid w:val="72C429D3"/>
    <w:rsid w:val="7B3831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0"/>
    <w:pPr>
      <w:tabs>
        <w:tab w:val="center" w:pos="4153"/>
        <w:tab w:val="right" w:pos="8306"/>
      </w:tabs>
      <w:snapToGrid w:val="0"/>
      <w:jc w:val="left"/>
    </w:pPr>
    <w:rPr>
      <w:sz w:val="18"/>
      <w:szCs w:val="18"/>
    </w:rPr>
  </w:style>
  <w:style w:type="paragraph" w:styleId="3">
    <w:name w:val="header"/>
    <w:basedOn w:val="1"/>
    <w:unhideWhenUsed/>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69</TotalTime>
  <ScaleCrop>false</ScaleCrop>
  <LinksUpToDate>false</LinksUpToDate>
  <CharactersWithSpaces>0</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2021-06-07T08:09:00Z</dcterms:created>
  <dc:creator>Administrator</dc:creator>
  <cp:lastModifiedBy>Administrator</cp:lastModifiedBy>
  <dcterms:modified xsi:type="dcterms:W3CDTF">2021-06-11T03:46:07Z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41E9DCD7B896463FA458EB45585803DD</vt:lpwstr>
  </property>
</Properties>
</file>